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bCs/>
          <w:color w:val="auto"/>
          <w:kern w:val="1"/>
          <w:sz w:val="36"/>
          <w:szCs w:val="36"/>
          <w:highlight w:val="none"/>
          <w:shd w:val="clear" w:color="auto" w:fill="FFFFFF"/>
          <w:lang w:val="en-US" w:eastAsia="zh-CN"/>
        </w:rPr>
      </w:pPr>
      <w:r>
        <w:rPr>
          <w:rFonts w:hint="eastAsia" w:ascii="黑体" w:hAnsi="黑体" w:eastAsia="黑体" w:cs="黑体"/>
          <w:b w:val="0"/>
          <w:bCs/>
          <w:color w:val="auto"/>
          <w:kern w:val="1"/>
          <w:sz w:val="36"/>
          <w:szCs w:val="36"/>
          <w:highlight w:val="none"/>
          <w:shd w:val="clear" w:color="auto" w:fill="FFFFFF"/>
          <w:lang w:val="en-US" w:eastAsia="zh-CN"/>
        </w:rPr>
        <w:t>项目说明</w:t>
      </w:r>
    </w:p>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bCs/>
          <w:color w:val="auto"/>
          <w:kern w:val="1"/>
          <w:sz w:val="36"/>
          <w:szCs w:val="36"/>
          <w:highlight w:val="none"/>
          <w:shd w:val="clear" w:color="auto" w:fill="FFFFFF"/>
          <w:lang w:val="en-US" w:eastAsia="zh-CN"/>
        </w:rPr>
      </w:pP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一、项目概括</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君耀广场（原恒大中央广场）1栋101、102、103、104、105、106、202、401、403、404、406、408、409，5栋105、106、107、108室</w:t>
      </w:r>
      <w:r>
        <w:rPr>
          <w:rFonts w:hint="eastAsia" w:ascii="仿宋" w:hAnsi="仿宋" w:eastAsia="仿宋" w:cs="仿宋"/>
          <w:sz w:val="28"/>
          <w:szCs w:val="28"/>
          <w:highlight w:val="none"/>
          <w:lang w:eastAsia="zh-CN"/>
        </w:rPr>
        <w:t>物业</w:t>
      </w:r>
      <w:r>
        <w:rPr>
          <w:rFonts w:hint="eastAsia" w:ascii="仿宋" w:hAnsi="仿宋" w:eastAsia="仿宋" w:cs="仿宋"/>
          <w:sz w:val="28"/>
          <w:szCs w:val="28"/>
          <w:highlight w:val="none"/>
          <w:lang w:val="en-US" w:eastAsia="zh-CN"/>
        </w:rPr>
        <w:t>系</w:t>
      </w:r>
      <w:r>
        <w:rPr>
          <w:rFonts w:hint="eastAsia" w:ascii="仿宋" w:hAnsi="仿宋" w:eastAsia="仿宋" w:cs="仿宋"/>
          <w:kern w:val="2"/>
          <w:sz w:val="28"/>
          <w:szCs w:val="28"/>
          <w:highlight w:val="none"/>
          <w:lang w:val="en-US" w:eastAsia="zh-CN" w:bidi="ar-SA"/>
        </w:rPr>
        <w:t>顺德区国资企业佛山市新城开发有限公司（以下简称“出租人”）下辖物业，国企实力护航。下属公司佛山市顺博城市发展有限公司（以下简称“管理人”）进行招商运营，出租人聚焦物业管理资产出租，重点围绕城市资源开发与运营，拥有丰富物业管理及城市运营经验。</w:t>
      </w: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drawing>
          <wp:inline distT="0" distB="0" distL="114300" distR="114300">
            <wp:extent cx="5257800" cy="2797175"/>
            <wp:effectExtent l="0" t="0" r="0" b="3175"/>
            <wp:docPr id="3" name="图片 3" descr="afc44893-2bde-4430-bc3c-56107131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fc44893-2bde-4430-bc3c-561071311267"/>
                    <pic:cNvPicPr>
                      <a:picLocks noChangeAspect="1"/>
                    </pic:cNvPicPr>
                  </pic:nvPicPr>
                  <pic:blipFill>
                    <a:blip r:embed="rId4"/>
                    <a:stretch>
                      <a:fillRect/>
                    </a:stretch>
                  </pic:blipFill>
                  <pic:spPr>
                    <a:xfrm>
                      <a:off x="0" y="0"/>
                      <a:ext cx="5257800" cy="2797175"/>
                    </a:xfrm>
                    <a:prstGeom prst="rect">
                      <a:avLst/>
                    </a:prstGeom>
                  </pic:spPr>
                </pic:pic>
              </a:graphicData>
            </a:graphic>
          </wp:inline>
        </w:drawing>
      </w: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1.项目名称：文大良君耀广场（原恒大中央广场）17宗物业公开招租项目。</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2.出租人：佛山市新城开发建设有限公司。</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default"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3.管理人：佛山市顺博城市发展有限公司。</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4项目地点：</w:t>
      </w:r>
      <w:r>
        <w:rPr>
          <w:rFonts w:hint="eastAsia" w:ascii="仿宋" w:hAnsi="仿宋" w:eastAsia="仿宋" w:cs="仿宋"/>
          <w:sz w:val="28"/>
          <w:szCs w:val="28"/>
          <w:highlight w:val="none"/>
          <w:lang w:val="en-US" w:eastAsia="zh-CN"/>
        </w:rPr>
        <w:t>广东省</w:t>
      </w:r>
      <w:r>
        <w:rPr>
          <w:rFonts w:hint="eastAsia" w:ascii="仿宋" w:hAnsi="仿宋" w:eastAsia="仿宋" w:cs="仿宋"/>
          <w:sz w:val="28"/>
          <w:szCs w:val="28"/>
          <w:highlight w:val="none"/>
          <w:lang w:eastAsia="zh-CN"/>
        </w:rPr>
        <w:t>佛山市顺德区大良街道南华社区延年路9号</w:t>
      </w:r>
      <w:r>
        <w:rPr>
          <w:rFonts w:hint="eastAsia" w:ascii="仿宋" w:hAnsi="仿宋" w:eastAsia="仿宋" w:cs="仿宋"/>
          <w:sz w:val="28"/>
          <w:szCs w:val="28"/>
          <w:highlight w:val="none"/>
          <w:lang w:val="en-US" w:eastAsia="zh-CN"/>
        </w:rPr>
        <w:t>君耀广场（原恒大中央广场）1栋101、102、103、104、105、106、202、401、403、404、406、408、409，5栋105、106、107、108室</w:t>
      </w:r>
      <w:r>
        <w:rPr>
          <w:rFonts w:hint="eastAsia" w:ascii="仿宋" w:hAnsi="仿宋" w:eastAsia="仿宋" w:cs="仿宋"/>
          <w:kern w:val="2"/>
          <w:sz w:val="28"/>
          <w:szCs w:val="28"/>
          <w:highlight w:val="none"/>
          <w:lang w:val="en-US" w:eastAsia="zh-CN" w:bidi="ar-SA"/>
        </w:rPr>
        <w:t>。</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5.物业用途：</w:t>
      </w:r>
      <w:r>
        <w:rPr>
          <w:rFonts w:hint="eastAsia" w:ascii="仿宋" w:hAnsi="仿宋" w:eastAsia="仿宋" w:cs="仿宋"/>
          <w:sz w:val="28"/>
          <w:szCs w:val="28"/>
          <w:highlight w:val="none"/>
          <w:vertAlign w:val="baseline"/>
          <w:lang w:val="en-US" w:eastAsia="zh-CN"/>
        </w:rPr>
        <w:t>1栋401、403、404、406、408、409为</w:t>
      </w:r>
      <w:r>
        <w:rPr>
          <w:rFonts w:hint="default" w:ascii="仿宋" w:hAnsi="仿宋" w:eastAsia="仿宋" w:cs="仿宋"/>
          <w:sz w:val="28"/>
          <w:szCs w:val="28"/>
          <w:highlight w:val="none"/>
          <w:vertAlign w:val="baseline"/>
          <w:lang w:val="en-US" w:eastAsia="zh-CN"/>
        </w:rPr>
        <w:t>批发零售用地，其他商服用地，住宿餐饮</w:t>
      </w:r>
      <w:bookmarkStart w:id="0" w:name="_GoBack"/>
      <w:bookmarkEnd w:id="0"/>
      <w:r>
        <w:rPr>
          <w:rFonts w:hint="default" w:ascii="仿宋" w:hAnsi="仿宋" w:eastAsia="仿宋" w:cs="仿宋"/>
          <w:sz w:val="28"/>
          <w:szCs w:val="28"/>
          <w:highlight w:val="none"/>
          <w:vertAlign w:val="baseline"/>
          <w:lang w:val="en-US" w:eastAsia="zh-CN"/>
        </w:rPr>
        <w:t>用地，商务金融用地/</w:t>
      </w:r>
      <w:r>
        <w:rPr>
          <w:rFonts w:hint="eastAsia" w:ascii="仿宋" w:hAnsi="仿宋" w:eastAsia="仿宋" w:cs="仿宋"/>
          <w:sz w:val="28"/>
          <w:szCs w:val="28"/>
          <w:highlight w:val="none"/>
          <w:vertAlign w:val="baseline"/>
          <w:lang w:val="en-US" w:eastAsia="zh-CN"/>
        </w:rPr>
        <w:t>办公；</w:t>
      </w:r>
      <w:r>
        <w:rPr>
          <w:rFonts w:hint="eastAsia" w:ascii="仿宋" w:hAnsi="仿宋" w:eastAsia="仿宋" w:cs="仿宋"/>
          <w:sz w:val="28"/>
          <w:szCs w:val="28"/>
          <w:highlight w:val="none"/>
          <w:lang w:val="en-US" w:eastAsia="zh-CN"/>
        </w:rPr>
        <w:t>1栋101、102、103、104、105、106、202，5栋105、106、107、108</w:t>
      </w:r>
      <w:r>
        <w:rPr>
          <w:rFonts w:hint="eastAsia" w:ascii="仿宋" w:hAnsi="仿宋" w:eastAsia="仿宋" w:cs="仿宋"/>
          <w:sz w:val="28"/>
          <w:szCs w:val="28"/>
          <w:highlight w:val="none"/>
          <w:vertAlign w:val="baseline"/>
          <w:lang w:val="en-US" w:eastAsia="zh-CN"/>
        </w:rPr>
        <w:t>为</w:t>
      </w:r>
      <w:r>
        <w:rPr>
          <w:rFonts w:hint="default" w:ascii="仿宋" w:hAnsi="仿宋" w:eastAsia="仿宋" w:cs="仿宋"/>
          <w:sz w:val="28"/>
          <w:szCs w:val="28"/>
          <w:highlight w:val="none"/>
          <w:vertAlign w:val="baseline"/>
          <w:lang w:val="en-US" w:eastAsia="zh-CN"/>
        </w:rPr>
        <w:t>批发零售用地，其他商服用地，住宿餐饮用地，商务金融用地/</w:t>
      </w:r>
      <w:r>
        <w:rPr>
          <w:rFonts w:hint="eastAsia" w:ascii="仿宋" w:hAnsi="仿宋" w:eastAsia="仿宋" w:cs="仿宋"/>
          <w:sz w:val="28"/>
          <w:szCs w:val="28"/>
          <w:highlight w:val="none"/>
          <w:vertAlign w:val="baseline"/>
          <w:lang w:val="en-US" w:eastAsia="zh-CN"/>
        </w:rPr>
        <w:t>商业</w:t>
      </w:r>
      <w:r>
        <w:rPr>
          <w:rFonts w:hint="default" w:ascii="仿宋" w:hAnsi="仿宋" w:eastAsia="仿宋" w:cs="仿宋"/>
          <w:sz w:val="28"/>
          <w:szCs w:val="28"/>
          <w:highlight w:val="none"/>
          <w:vertAlign w:val="baseline"/>
          <w:lang w:val="en-US" w:eastAsia="zh-CN"/>
        </w:rPr>
        <w:t>用途</w:t>
      </w:r>
      <w:r>
        <w:rPr>
          <w:rFonts w:hint="eastAsia" w:ascii="仿宋" w:hAnsi="仿宋" w:eastAsia="仿宋" w:cs="仿宋"/>
          <w:kern w:val="2"/>
          <w:sz w:val="28"/>
          <w:szCs w:val="28"/>
          <w:highlight w:val="none"/>
          <w:lang w:val="en-US" w:eastAsia="zh-CN" w:bidi="ar-SA"/>
        </w:rPr>
        <w:t>。</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6.物业面积：</w:t>
      </w:r>
      <w:r>
        <w:rPr>
          <w:rFonts w:hint="eastAsia" w:ascii="仿宋" w:hAnsi="仿宋" w:eastAsia="仿宋" w:cs="仿宋"/>
          <w:sz w:val="28"/>
          <w:szCs w:val="28"/>
          <w:highlight w:val="none"/>
          <w:vertAlign w:val="baseline"/>
          <w:lang w:val="en-US" w:eastAsia="zh-CN"/>
        </w:rPr>
        <w:t>建筑面积约2618.56㎡</w:t>
      </w:r>
      <w:r>
        <w:rPr>
          <w:rFonts w:hint="default" w:ascii="仿宋" w:hAnsi="仿宋" w:eastAsia="仿宋" w:cs="仿宋"/>
          <w:sz w:val="28"/>
          <w:szCs w:val="28"/>
          <w:highlight w:val="none"/>
          <w:vertAlign w:val="baseline"/>
          <w:lang w:val="en-US" w:eastAsia="zh-CN"/>
        </w:rPr>
        <w:t>（具体详见图纸）</w:t>
      </w:r>
      <w:r>
        <w:rPr>
          <w:rFonts w:hint="eastAsia" w:ascii="仿宋" w:hAnsi="仿宋" w:eastAsia="仿宋" w:cs="仿宋"/>
          <w:kern w:val="2"/>
          <w:sz w:val="28"/>
          <w:szCs w:val="28"/>
          <w:highlight w:val="none"/>
          <w:lang w:val="en-US" w:eastAsia="zh-CN" w:bidi="ar-SA"/>
        </w:rPr>
        <w:t>。</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240" w:lineRule="auto"/>
        <w:jc w:val="center"/>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drawing>
          <wp:inline distT="0" distB="0" distL="114300" distR="114300">
            <wp:extent cx="5106035" cy="3860165"/>
            <wp:effectExtent l="0" t="0" r="8890" b="6985"/>
            <wp:docPr id="5" name="图片 5" descr="6e27b397-65f1-4a79-981b-76afc2440f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e27b397-65f1-4a79-981b-76afc2440f47"/>
                    <pic:cNvPicPr>
                      <a:picLocks noChangeAspect="1"/>
                    </pic:cNvPicPr>
                  </pic:nvPicPr>
                  <pic:blipFill>
                    <a:blip r:embed="rId5"/>
                    <a:stretch>
                      <a:fillRect/>
                    </a:stretch>
                  </pic:blipFill>
                  <pic:spPr>
                    <a:xfrm>
                      <a:off x="0" y="0"/>
                      <a:ext cx="5106035" cy="3860165"/>
                    </a:xfrm>
                    <a:prstGeom prst="rect">
                      <a:avLst/>
                    </a:prstGeom>
                  </pic:spPr>
                </pic:pic>
              </a:graphicData>
            </a:graphic>
          </wp:inline>
        </w:drawing>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240" w:lineRule="auto"/>
        <w:jc w:val="center"/>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drawing>
          <wp:inline distT="0" distB="0" distL="114300" distR="114300">
            <wp:extent cx="4879975" cy="3053715"/>
            <wp:effectExtent l="0" t="0" r="6350" b="3810"/>
            <wp:docPr id="8" name="图片 8" descr="21297641-e7bd-4301-bc15-c7d4199022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1297641-e7bd-4301-bc15-c7d4199022df"/>
                    <pic:cNvPicPr>
                      <a:picLocks noChangeAspect="1"/>
                    </pic:cNvPicPr>
                  </pic:nvPicPr>
                  <pic:blipFill>
                    <a:blip r:embed="rId6"/>
                    <a:stretch>
                      <a:fillRect/>
                    </a:stretch>
                  </pic:blipFill>
                  <pic:spPr>
                    <a:xfrm>
                      <a:off x="0" y="0"/>
                      <a:ext cx="4879975" cy="3053715"/>
                    </a:xfrm>
                    <a:prstGeom prst="rect">
                      <a:avLst/>
                    </a:prstGeom>
                  </pic:spPr>
                </pic:pic>
              </a:graphicData>
            </a:graphic>
          </wp:inline>
        </w:drawing>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240" w:lineRule="auto"/>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drawing>
          <wp:inline distT="0" distB="0" distL="114300" distR="114300">
            <wp:extent cx="5266690" cy="4356735"/>
            <wp:effectExtent l="0" t="0" r="635" b="5715"/>
            <wp:docPr id="4" name="图片 4" descr="0f58d925-2cb0-40af-a65b-4b67001a01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f58d925-2cb0-40af-a65b-4b67001a01f8"/>
                    <pic:cNvPicPr>
                      <a:picLocks noChangeAspect="1"/>
                    </pic:cNvPicPr>
                  </pic:nvPicPr>
                  <pic:blipFill>
                    <a:blip r:embed="rId7"/>
                    <a:stretch>
                      <a:fillRect/>
                    </a:stretch>
                  </pic:blipFill>
                  <pic:spPr>
                    <a:xfrm>
                      <a:off x="0" y="0"/>
                      <a:ext cx="5266690" cy="4356735"/>
                    </a:xfrm>
                    <a:prstGeom prst="rect">
                      <a:avLst/>
                    </a:prstGeom>
                  </pic:spPr>
                </pic:pic>
              </a:graphicData>
            </a:graphic>
          </wp:inline>
        </w:drawing>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7.周边业态：石洛市场，华盖山，清晖园</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8.交通配套：地下停车场，南国中路。</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9.项目内容：管理人提供指定的招租场地，并对竞得人进行监督管理。竞得人于指定位置进行经营，并向君耀广场备案物业管理企业支付物业管理费，其中1栋401、403、404、406、408、409物业服务费收费为4元/平方米/月，</w:t>
      </w:r>
      <w:r>
        <w:rPr>
          <w:rFonts w:hint="eastAsia" w:ascii="仿宋" w:hAnsi="仿宋" w:eastAsia="仿宋" w:cs="仿宋"/>
          <w:sz w:val="28"/>
          <w:szCs w:val="28"/>
          <w:highlight w:val="none"/>
          <w:lang w:val="en-US" w:eastAsia="zh-CN"/>
        </w:rPr>
        <w:t>1栋101、102、103、104、105、106、202，5栋105、106、107、108</w:t>
      </w:r>
      <w:r>
        <w:rPr>
          <w:rFonts w:hint="eastAsia" w:ascii="仿宋" w:hAnsi="仿宋" w:eastAsia="仿宋" w:cs="仿宋"/>
          <w:kern w:val="2"/>
          <w:sz w:val="28"/>
          <w:szCs w:val="28"/>
          <w:highlight w:val="none"/>
          <w:lang w:val="en-US" w:eastAsia="zh-CN" w:bidi="ar-SA"/>
        </w:rPr>
        <w:t>物业物业服务费收费为7元/平方米/月（最终以君耀广场备案物业服务企业通知为准）。</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default"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10.租金按月收取，</w:t>
      </w:r>
      <w:r>
        <w:rPr>
          <w:rFonts w:hint="eastAsia" w:ascii="仿宋" w:hAnsi="仿宋" w:eastAsia="仿宋" w:cs="仿宋"/>
          <w:sz w:val="28"/>
          <w:szCs w:val="28"/>
          <w:highlight w:val="none"/>
          <w:vertAlign w:val="baseline"/>
          <w:lang w:val="en-US" w:eastAsia="zh-CN"/>
        </w:rPr>
        <w:t>合同前3个月为免租期，超过3个月的以实际开业之日为免租期结束之日，但最多不超过9个月</w:t>
      </w:r>
      <w:r>
        <w:rPr>
          <w:rFonts w:hint="eastAsia" w:ascii="仿宋" w:hAnsi="仿宋" w:eastAsia="仿宋" w:cs="仿宋"/>
          <w:kern w:val="2"/>
          <w:sz w:val="28"/>
          <w:szCs w:val="28"/>
          <w:highlight w:val="none"/>
          <w:lang w:val="en-US" w:eastAsia="zh-CN" w:bidi="ar-SA"/>
        </w:rPr>
        <w:t>。缴交的期限为计租月的5日之前(缴交期的最后一日为节假日的顺延至节假日后第一日)缴交当月租金。</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eastAsia="宋体"/>
          <w:b/>
          <w:bCs/>
          <w:color w:val="auto"/>
          <w:szCs w:val="24"/>
          <w:highlight w:val="none"/>
          <w:shd w:val="clear" w:color="auto" w:fill="FFFFFF"/>
          <w:lang w:eastAsia="zh-CN"/>
        </w:rPr>
        <w:drawing>
          <wp:anchor distT="0" distB="0" distL="114300" distR="114300" simplePos="0" relativeHeight="251659264" behindDoc="1" locked="0" layoutInCell="1" allowOverlap="1">
            <wp:simplePos x="0" y="0"/>
            <wp:positionH relativeFrom="column">
              <wp:posOffset>-419100</wp:posOffset>
            </wp:positionH>
            <wp:positionV relativeFrom="paragraph">
              <wp:posOffset>171450</wp:posOffset>
            </wp:positionV>
            <wp:extent cx="6113145" cy="3437890"/>
            <wp:effectExtent l="0" t="0" r="1905" b="635"/>
            <wp:wrapTight wrapText="bothSides">
              <wp:wrapPolygon>
                <wp:start x="0" y="0"/>
                <wp:lineTo x="0" y="21544"/>
                <wp:lineTo x="21573" y="21544"/>
                <wp:lineTo x="21573" y="0"/>
                <wp:lineTo x="0" y="0"/>
              </wp:wrapPolygon>
            </wp:wrapTight>
            <wp:docPr id="2" name="图片 2" descr="C:/Users/CK309/Desktop/君耀广场招租方案/照片效果图/6c732433-c0b7-4ace-b6bd-6757e7d06152.jpg6c732433-c0b7-4ace-b6bd-6757e7d0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CK309/Desktop/君耀广场招租方案/照片效果图/6c732433-c0b7-4ace-b6bd-6757e7d06152.jpg6c732433-c0b7-4ace-b6bd-6757e7d06152"/>
                    <pic:cNvPicPr>
                      <a:picLocks noChangeAspect="1"/>
                    </pic:cNvPicPr>
                  </pic:nvPicPr>
                  <pic:blipFill>
                    <a:blip r:embed="rId8"/>
                    <a:srcRect t="10221" b="10221"/>
                    <a:stretch>
                      <a:fillRect/>
                    </a:stretch>
                  </pic:blipFill>
                  <pic:spPr>
                    <a:xfrm>
                      <a:off x="0" y="0"/>
                      <a:ext cx="6113145" cy="3437890"/>
                    </a:xfrm>
                    <a:prstGeom prst="rect">
                      <a:avLst/>
                    </a:prstGeom>
                  </pic:spPr>
                </pic:pic>
              </a:graphicData>
            </a:graphic>
          </wp:anchor>
        </w:drawing>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二、场地规定</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1.出租人仅提供现有场地，如竞得人有需要对场地进行装修改造，需向管理人进行报备报批，管理人审核通过后才可进行装修改造，装修改造的相关费用均由竞得人自行承担。</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2.在场地交接前，场地原有设施设备出租人将按其需要选择搬离，未搬离的设施设备可供竞得人使用（仅限在本场地内使用），但竞得人不得破坏、损坏该设施设备，否则应按价赔偿。</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3.竞得人需自行承担场地内的物业管理费、水电、燃气、通信等费用，并按实支付相关费用。</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4.使用场地进行商业活动产生的各项费用均由竞得人自行承担（其中包括但不限于竞得人申请安装电话、宽带、有线电视等设备的费用）。</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5.竞得人接收物业后自行办理相关经营证照，自行负责日常运营的开支（包括但不限于人员的工资、保险、营运杂费、管理成本、消防卫生等）。竞得人自行承担经营风险及相关经营责任。</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6.竞得人必须按国家有关政策要求缴纳相关的费用及税费。</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7.管理人按现状交付物业。</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8.本项目场地权属于出租人，目前不动产证已完成登记。</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三、其他要求及说明</w:t>
      </w:r>
    </w:p>
    <w:p>
      <w:pPr>
        <w:widowControl/>
        <w:numPr>
          <w:ilvl w:val="0"/>
          <w:numId w:val="0"/>
        </w:numPr>
        <w:spacing w:line="500" w:lineRule="exact"/>
        <w:ind w:firstLine="548" w:firstLineChars="0"/>
        <w:jc w:val="left"/>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本项目的经营管理由竞得人负责，竞得人是项目唯一的经营主体，享有项目内的所有收益及承担全部的经营责任、费用、风险，且与其所聘用的人员之间的关系是劳动用工关系。同时，竞得人未经管理人书面许可的情况下不得对本项目有任何形式的转租、转包、租借、转让、抵押等行为。否则，一经发现并查实，出租人有权提前终止合同，并提出索赔。</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2.在合同有效期限内，未经管理人同意，竞得人不得对报价时承诺的经营内容进行变更。若合同内容确需变更的，合同双方应当在共同协商的基础上签订补充协议。</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3.合同期开始计算前，竞得人须为场地及场地内的设备设施购买财产保险。</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4.竞得人必须遵守国家法律、法规及省、市行政主管部门有关规范性文件的规定，确保实现管理目标、经济指标，服从管理，自觉接受当地相关管理部门及管理人的监督检查。</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5.竞得人应根据本项目的特点及要求制定经营管理服务方案，建立质量保证体系。</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6.任何由竞得人引起的纠纷或损毁事故概由竞得人负责解决并承担相关的民事等经济法律责任。</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7.合同执行期间，因不可抗力、市政建设需要搬迁、土地被收储、三旧改造和企业改制等地方政府规划调整或实施公共政策的情形致使合同无法履行，出租人有权提前收回经营权。</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default"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8.退场移交要求：服务期到期或双方终止合同后，竞得人须在到期或终止之日起30日历天内将场地清理干净，竞得人不得破坏已装修固定的设施及房屋构架，逾期清理的物品管理人有权自行处理。竞得人结清相关费用（租金、管理费、水电费、通信网络费等）后，经出租管理人验收合格，退还履约保证金。</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四、退出机制</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1.竞得人所经营范围要与周边环境相融合，如政府有关部门通知经营范围对区域产生不良影响，责令更改经营范围或撤离现场，竞得人需无条件配合。</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2.在合作期内，如遇政府行政指令或整体规划改造需要，对规定的场地进行强制征用时，竞得人应无条件搬迁。</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3.合作期间内，如遇当地及上级监管部门勒令停止合同规定的经营活动时，合作自行终止。</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default"/>
          <w:highlight w:val="none"/>
          <w:lang w:val="en-US" w:eastAsia="zh-CN"/>
        </w:rPr>
      </w:pPr>
      <w:r>
        <w:rPr>
          <w:rFonts w:hint="eastAsia" w:ascii="仿宋" w:hAnsi="仿宋" w:eastAsia="仿宋" w:cs="仿宋"/>
          <w:kern w:val="2"/>
          <w:sz w:val="28"/>
          <w:szCs w:val="28"/>
          <w:highlight w:val="none"/>
          <w:lang w:val="en-US" w:eastAsia="zh-CN" w:bidi="ar-SA"/>
        </w:rPr>
        <w:t>4.由于出租人规划、建设原因需收回场地的，竞得人需无条件配合出租人，出租人按物业实际使用期限收取租金，对已收的租金概不退回。</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778F6"/>
    <w:multiLevelType w:val="multilevel"/>
    <w:tmpl w:val="535778F6"/>
    <w:lvl w:ilvl="0" w:tentative="0">
      <w:start w:val="1"/>
      <w:numFmt w:val="chineseCountingThousand"/>
      <w:suff w:val="nothing"/>
      <w:lvlText w:val="%1、"/>
      <w:lvlJc w:val="left"/>
      <w:rPr>
        <w:rFonts w:hint="eastAsia"/>
        <w:b/>
        <w:i w:val="0"/>
        <w:sz w:val="24"/>
      </w:rPr>
    </w:lvl>
    <w:lvl w:ilvl="1" w:tentative="0">
      <w:start w:val="1"/>
      <w:numFmt w:val="decimal"/>
      <w:suff w:val="nothing"/>
      <w:lvlText w:val="%2. "/>
      <w:lvlJc w:val="left"/>
      <w:rPr>
        <w:rFonts w:hint="eastAsia"/>
        <w:b w:val="0"/>
        <w:i w:val="0"/>
        <w:sz w:val="24"/>
      </w:rPr>
    </w:lvl>
    <w:lvl w:ilvl="2" w:tentative="0">
      <w:start w:val="1"/>
      <w:numFmt w:val="none"/>
      <w:pStyle w:val="3"/>
      <w:suff w:val="nothing"/>
      <w:lvlText w:val=""/>
      <w:lvlJc w:val="left"/>
      <w:rPr>
        <w:rFonts w:hint="eastAsia"/>
      </w:rPr>
    </w:lvl>
    <w:lvl w:ilvl="3" w:tentative="0">
      <w:start w:val="1"/>
      <w:numFmt w:val="none"/>
      <w:suff w:val="nothing"/>
      <w:lvlText w:val=""/>
      <w:lvlJc w:val="left"/>
      <w:rPr>
        <w:rFonts w:hint="eastAsia"/>
      </w:rPr>
    </w:lvl>
    <w:lvl w:ilvl="4" w:tentative="0">
      <w:start w:val="1"/>
      <w:numFmt w:val="none"/>
      <w:suff w:val="nothing"/>
      <w:lvlText w:val=""/>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4NDA1YTY2ZmYyZjQwMzc2YmZlMTlmMGQ0Njc2MWUifQ=="/>
  </w:docVars>
  <w:rsids>
    <w:rsidRoot w:val="5A9E032A"/>
    <w:rsid w:val="001A64C4"/>
    <w:rsid w:val="0126280F"/>
    <w:rsid w:val="022E26FA"/>
    <w:rsid w:val="026C4FD1"/>
    <w:rsid w:val="05263B5D"/>
    <w:rsid w:val="07E2214C"/>
    <w:rsid w:val="09725FD6"/>
    <w:rsid w:val="0B1A7CC0"/>
    <w:rsid w:val="0BF16C73"/>
    <w:rsid w:val="0C1B3CF0"/>
    <w:rsid w:val="0F4B636B"/>
    <w:rsid w:val="0F590216"/>
    <w:rsid w:val="10D378AA"/>
    <w:rsid w:val="11097CDE"/>
    <w:rsid w:val="13935FD1"/>
    <w:rsid w:val="14504752"/>
    <w:rsid w:val="188D49CD"/>
    <w:rsid w:val="19744A3F"/>
    <w:rsid w:val="19A05834"/>
    <w:rsid w:val="1C1C0757"/>
    <w:rsid w:val="1C67350C"/>
    <w:rsid w:val="1C913B5A"/>
    <w:rsid w:val="1D344C11"/>
    <w:rsid w:val="1DAB47A7"/>
    <w:rsid w:val="1E301693"/>
    <w:rsid w:val="1E870D71"/>
    <w:rsid w:val="1ED713E5"/>
    <w:rsid w:val="1FEF61FA"/>
    <w:rsid w:val="20084634"/>
    <w:rsid w:val="22FB7F7F"/>
    <w:rsid w:val="23A83499"/>
    <w:rsid w:val="23CB5BA3"/>
    <w:rsid w:val="248D10AB"/>
    <w:rsid w:val="25C57C64"/>
    <w:rsid w:val="25E1104C"/>
    <w:rsid w:val="2A2E347D"/>
    <w:rsid w:val="2B3009C5"/>
    <w:rsid w:val="2D327DED"/>
    <w:rsid w:val="2D5B65F0"/>
    <w:rsid w:val="2DB87198"/>
    <w:rsid w:val="2DCF6290"/>
    <w:rsid w:val="2E3063D5"/>
    <w:rsid w:val="2E4C576C"/>
    <w:rsid w:val="2EC85DC5"/>
    <w:rsid w:val="303074BA"/>
    <w:rsid w:val="308710A4"/>
    <w:rsid w:val="31B7290D"/>
    <w:rsid w:val="349B2BDB"/>
    <w:rsid w:val="36004726"/>
    <w:rsid w:val="37441A9D"/>
    <w:rsid w:val="37A34A15"/>
    <w:rsid w:val="38E2156D"/>
    <w:rsid w:val="3995097E"/>
    <w:rsid w:val="3D510A70"/>
    <w:rsid w:val="3E676696"/>
    <w:rsid w:val="3FCB2D5B"/>
    <w:rsid w:val="412C6647"/>
    <w:rsid w:val="417E43B9"/>
    <w:rsid w:val="425F25BC"/>
    <w:rsid w:val="441F24BC"/>
    <w:rsid w:val="44F14994"/>
    <w:rsid w:val="47E250E6"/>
    <w:rsid w:val="48B63E7D"/>
    <w:rsid w:val="48E42798"/>
    <w:rsid w:val="49137521"/>
    <w:rsid w:val="499248EA"/>
    <w:rsid w:val="49E43CC3"/>
    <w:rsid w:val="4C630E03"/>
    <w:rsid w:val="4DC1579E"/>
    <w:rsid w:val="519B42AD"/>
    <w:rsid w:val="52D47D21"/>
    <w:rsid w:val="53FA5565"/>
    <w:rsid w:val="54136627"/>
    <w:rsid w:val="56B17B49"/>
    <w:rsid w:val="58DD2980"/>
    <w:rsid w:val="59A206F2"/>
    <w:rsid w:val="5A9E032A"/>
    <w:rsid w:val="5C630938"/>
    <w:rsid w:val="5CB36BF9"/>
    <w:rsid w:val="62916147"/>
    <w:rsid w:val="635051A2"/>
    <w:rsid w:val="640A74CC"/>
    <w:rsid w:val="654B2A7B"/>
    <w:rsid w:val="6938470E"/>
    <w:rsid w:val="6B0D2362"/>
    <w:rsid w:val="6B264A3A"/>
    <w:rsid w:val="6B807875"/>
    <w:rsid w:val="6BA31C16"/>
    <w:rsid w:val="6E26547D"/>
    <w:rsid w:val="6FB45D68"/>
    <w:rsid w:val="701134A6"/>
    <w:rsid w:val="71031AA6"/>
    <w:rsid w:val="7194467A"/>
    <w:rsid w:val="722871BF"/>
    <w:rsid w:val="73814F04"/>
    <w:rsid w:val="769136B0"/>
    <w:rsid w:val="773E6630"/>
    <w:rsid w:val="77855149"/>
    <w:rsid w:val="782C2CD3"/>
    <w:rsid w:val="78AE679B"/>
    <w:rsid w:val="79440EAD"/>
    <w:rsid w:val="79FA5A10"/>
    <w:rsid w:val="7A6E4B8B"/>
    <w:rsid w:val="7C466CEA"/>
    <w:rsid w:val="7C962567"/>
    <w:rsid w:val="7E016177"/>
    <w:rsid w:val="7E450246"/>
    <w:rsid w:val="7ED93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keepNext/>
      <w:keepLines/>
      <w:numPr>
        <w:ilvl w:val="2"/>
        <w:numId w:val="1"/>
      </w:numPr>
      <w:adjustRightInd w:val="0"/>
      <w:spacing w:before="260" w:after="260" w:line="416" w:lineRule="atLeast"/>
      <w:textAlignment w:val="baseline"/>
      <w:outlineLvl w:val="2"/>
    </w:pPr>
    <w:rPr>
      <w:b/>
      <w:kern w:val="0"/>
      <w:sz w:val="32"/>
      <w:szCs w:val="20"/>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1"/>
    <w:next w:val="1"/>
    <w:qFormat/>
    <w:uiPriority w:val="0"/>
    <w:pPr>
      <w:tabs>
        <w:tab w:val="left" w:pos="420"/>
      </w:tabs>
      <w:adjustRightInd/>
      <w:ind w:firstLine="560" w:firstLineChars="200"/>
      <w:jc w:val="left"/>
      <w:textAlignment w:val="auto"/>
    </w:pPr>
    <w:rPr>
      <w:rFonts w:ascii="宋体" w:hAnsi="宋体" w:eastAsia="宋体" w:cs="宋体"/>
      <w:snapToGrid w:val="0"/>
      <w:color w:val="000000"/>
      <w:kern w:val="2"/>
    </w:rPr>
  </w:style>
  <w:style w:type="paragraph" w:styleId="4">
    <w:name w:val="Normal Indent"/>
    <w:basedOn w:val="1"/>
    <w:qFormat/>
    <w:uiPriority w:val="0"/>
    <w:pPr>
      <w:ind w:firstLine="420"/>
    </w:pPr>
    <w:rPr>
      <w:kern w:val="1"/>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Lines="0" w:beforeAutospacing="1" w:after="100" w:afterLines="0" w:afterAutospacing="1"/>
      <w:jc w:val="left"/>
    </w:pPr>
    <w:rPr>
      <w:rFonts w:ascii="宋体" w:hAnsi="宋体" w:cs="宋体"/>
      <w:sz w:val="24"/>
      <w:szCs w:val="2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Table Text"/>
    <w:basedOn w:val="1"/>
    <w:semiHidden/>
    <w:qFormat/>
    <w:uiPriority w:val="0"/>
    <w:rPr>
      <w:rFonts w:ascii="宋体" w:hAnsi="宋体" w:eastAsia="宋体" w:cs="宋体"/>
      <w:sz w:val="24"/>
      <w:szCs w:val="24"/>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8304</Words>
  <Characters>8949</Characters>
  <Lines>0</Lines>
  <Paragraphs>0</Paragraphs>
  <TotalTime>14</TotalTime>
  <ScaleCrop>false</ScaleCrop>
  <LinksUpToDate>false</LinksUpToDate>
  <CharactersWithSpaces>9769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2025-05-07T03:05:00Z</dcterms:created>
  <dc:creator>Karen Ho</dc:creator>
  <cp:lastModifiedBy>佛山市顺博城市运营服务有限公司</cp:lastModifiedBy>
  <cp:lastPrinted>2025-05-08T03:17:00Z</cp:lastPrinted>
  <dcterms:modified xsi:type="dcterms:W3CDTF">2025-12-25T03:03:48Z</dcterms:modified>
  <dc:title>公开招租公告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955E54D600DA4645B900187D19308FD8</vt:lpwstr>
  </property>
  <property fmtid="{D5CDD505-2E9C-101B-9397-08002B2CF9AE}" pid="4" name="KSOTemplateDocerSaveRecord">
    <vt:lpwstr>eyJoZGlkIjoiZWIyMmIyMGNlZmM3YmZlNzliYjRhZTQ1YzA3NmVkODgiLCJ1c2VySWQiOiIxMzc0NzU0MzI2In0=</vt:lpwstr>
  </property>
</Properties>
</file>