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560"/>
        <w:rPr>
          <w:rFonts w:hint="eastAsia" w:ascii="仿宋" w:hAnsi="仿宋" w:eastAsia="仿宋" w:cs="仿宋"/>
          <w:color w:val="auto"/>
          <w:sz w:val="24"/>
          <w:szCs w:val="24"/>
          <w:highlight w:val="none"/>
        </w:rPr>
      </w:pPr>
    </w:p>
    <w:p>
      <w:pPr>
        <w:pStyle w:val="2"/>
        <w:rPr>
          <w:rFonts w:hint="eastAsia" w:ascii="仿宋" w:hAnsi="仿宋" w:eastAsia="仿宋" w:cs="仿宋"/>
          <w:color w:val="auto"/>
          <w:sz w:val="24"/>
          <w:szCs w:val="24"/>
          <w:highlight w:val="none"/>
        </w:rPr>
      </w:pPr>
    </w:p>
    <w:p>
      <w:pPr>
        <w:spacing w:line="560" w:lineRule="exact"/>
        <w:ind w:firstLine="1040"/>
        <w:rPr>
          <w:rFonts w:hint="eastAsia" w:ascii="仿宋" w:hAnsi="仿宋" w:eastAsia="仿宋" w:cs="仿宋"/>
          <w:color w:val="auto"/>
          <w:sz w:val="24"/>
          <w:szCs w:val="24"/>
          <w:highlight w:val="none"/>
        </w:rPr>
      </w:pPr>
    </w:p>
    <w:p>
      <w:pPr>
        <w:pStyle w:val="2"/>
        <w:spacing w:line="560" w:lineRule="exact"/>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b/>
          <w:bCs w:val="0"/>
          <w:color w:val="auto"/>
          <w:sz w:val="44"/>
          <w:szCs w:val="44"/>
          <w:highlight w:val="none"/>
          <w:u w:val="none"/>
          <w:lang w:val="en-US" w:eastAsia="zh-CN"/>
        </w:rPr>
        <w:t>中欧餐厅合作联营方招募项目</w:t>
      </w:r>
    </w:p>
    <w:p>
      <w:pPr>
        <w:pStyle w:val="2"/>
        <w:spacing w:line="560" w:lineRule="exact"/>
        <w:ind w:firstLine="0" w:firstLineChars="0"/>
        <w:jc w:val="center"/>
        <w:rPr>
          <w:rFonts w:hint="eastAsia" w:ascii="仿宋" w:hAnsi="仿宋" w:eastAsia="仿宋" w:cs="仿宋"/>
          <w:color w:val="auto"/>
          <w:sz w:val="24"/>
          <w:szCs w:val="24"/>
          <w:highlight w:val="none"/>
        </w:rPr>
      </w:pPr>
    </w:p>
    <w:p>
      <w:pPr>
        <w:pStyle w:val="2"/>
        <w:spacing w:line="560" w:lineRule="exact"/>
        <w:ind w:firstLine="0" w:firstLineChars="0"/>
        <w:jc w:val="center"/>
        <w:rPr>
          <w:rFonts w:hint="eastAsia" w:ascii="仿宋" w:hAnsi="仿宋" w:eastAsia="仿宋" w:cs="仿宋"/>
          <w:color w:val="auto"/>
          <w:sz w:val="24"/>
          <w:szCs w:val="24"/>
          <w:highlight w:val="none"/>
        </w:rPr>
      </w:pPr>
    </w:p>
    <w:p>
      <w:pPr>
        <w:pStyle w:val="2"/>
        <w:spacing w:line="560" w:lineRule="exact"/>
        <w:ind w:firstLine="0" w:firstLineChars="0"/>
        <w:jc w:val="center"/>
        <w:rPr>
          <w:rFonts w:hint="eastAsia" w:ascii="仿宋" w:hAnsi="仿宋" w:eastAsia="仿宋" w:cs="仿宋"/>
          <w:color w:val="auto"/>
          <w:sz w:val="24"/>
          <w:szCs w:val="24"/>
          <w:highlight w:val="none"/>
        </w:rPr>
      </w:pPr>
    </w:p>
    <w:p>
      <w:pPr>
        <w:pStyle w:val="2"/>
        <w:spacing w:line="560" w:lineRule="exact"/>
        <w:ind w:firstLine="0" w:firstLineChars="0"/>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公开</w:t>
      </w:r>
      <w:r>
        <w:rPr>
          <w:rFonts w:hint="eastAsia" w:cs="仿宋"/>
          <w:b/>
          <w:color w:val="auto"/>
          <w:sz w:val="44"/>
          <w:szCs w:val="44"/>
          <w:highlight w:val="none"/>
          <w:lang w:val="en-US" w:eastAsia="zh-CN"/>
        </w:rPr>
        <w:t>比选</w:t>
      </w:r>
      <w:r>
        <w:rPr>
          <w:rFonts w:hint="eastAsia" w:ascii="仿宋" w:hAnsi="仿宋" w:eastAsia="仿宋" w:cs="仿宋"/>
          <w:b/>
          <w:color w:val="auto"/>
          <w:sz w:val="44"/>
          <w:szCs w:val="44"/>
          <w:highlight w:val="none"/>
        </w:rPr>
        <w:t>文件</w:t>
      </w:r>
    </w:p>
    <w:p>
      <w:pPr>
        <w:pStyle w:val="2"/>
        <w:spacing w:line="560" w:lineRule="exact"/>
        <w:ind w:firstLine="0" w:firstLineChars="0"/>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（资格后审）</w:t>
      </w:r>
    </w:p>
    <w:p>
      <w:pPr>
        <w:pStyle w:val="2"/>
        <w:spacing w:line="560" w:lineRule="exact"/>
        <w:ind w:firstLine="0" w:firstLineChars="0"/>
        <w:rPr>
          <w:rFonts w:hint="eastAsia" w:ascii="仿宋" w:hAnsi="仿宋" w:eastAsia="仿宋" w:cs="仿宋"/>
          <w:color w:val="auto"/>
          <w:sz w:val="44"/>
          <w:szCs w:val="4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rPr>
          <w:rFonts w:hint="eastAsia" w:ascii="仿宋" w:hAnsi="仿宋" w:eastAsia="仿宋" w:cs="仿宋"/>
          <w:color w:val="auto"/>
          <w:sz w:val="24"/>
          <w:szCs w:val="24"/>
          <w:highlight w:val="none"/>
        </w:rPr>
      </w:pPr>
    </w:p>
    <w:p>
      <w:pPr>
        <w:pStyle w:val="2"/>
        <w:spacing w:line="560" w:lineRule="exact"/>
        <w:ind w:firstLine="0" w:firstLineChars="0"/>
        <w:jc w:val="center"/>
        <w:rPr>
          <w:rFonts w:hint="eastAsia" w:ascii="仿宋" w:hAnsi="仿宋" w:eastAsia="仿宋" w:cs="仿宋"/>
          <w:color w:val="auto"/>
          <w:sz w:val="24"/>
          <w:szCs w:val="24"/>
          <w:highlight w:val="none"/>
          <w:lang w:eastAsia="zh-CN"/>
        </w:rPr>
      </w:pPr>
      <w:r>
        <w:rPr>
          <w:rFonts w:hint="eastAsia" w:cs="仿宋"/>
          <w:color w:val="auto"/>
          <w:sz w:val="24"/>
          <w:szCs w:val="24"/>
          <w:highlight w:val="none"/>
          <w:lang w:eastAsia="zh-CN"/>
        </w:rPr>
        <w:t>招募方：</w:t>
      </w:r>
      <w:r>
        <w:rPr>
          <w:rFonts w:hint="eastAsia" w:ascii="仿宋" w:hAnsi="仿宋" w:eastAsia="仿宋" w:cs="仿宋"/>
          <w:color w:val="auto"/>
          <w:sz w:val="24"/>
          <w:szCs w:val="24"/>
          <w:highlight w:val="none"/>
        </w:rPr>
        <w:t>佛山市新城物业发展有限公司</w:t>
      </w:r>
      <w:r>
        <w:rPr>
          <w:rFonts w:hint="eastAsia" w:cs="仿宋"/>
          <w:color w:val="auto"/>
          <w:sz w:val="24"/>
          <w:szCs w:val="24"/>
          <w:highlight w:val="none"/>
          <w:lang w:eastAsia="zh-CN"/>
        </w:rPr>
        <w:t>（盖章）</w:t>
      </w:r>
    </w:p>
    <w:p>
      <w:pPr>
        <w:pStyle w:val="2"/>
        <w:spacing w:line="560" w:lineRule="exact"/>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cs="仿宋"/>
          <w:color w:val="auto"/>
          <w:sz w:val="24"/>
          <w:szCs w:val="24"/>
          <w:highlight w:val="none"/>
          <w:lang w:val="en-US" w:eastAsia="zh-CN"/>
        </w:rPr>
        <w:t>1</w:t>
      </w:r>
      <w:r>
        <w:rPr>
          <w:rFonts w:hint="eastAsia" w:ascii="仿宋" w:hAnsi="仿宋" w:eastAsia="仿宋" w:cs="仿宋"/>
          <w:color w:val="auto"/>
          <w:sz w:val="24"/>
          <w:szCs w:val="24"/>
          <w:highlight w:val="none"/>
        </w:rPr>
        <w:t>月</w:t>
      </w:r>
      <w:r>
        <w:rPr>
          <w:rFonts w:hint="eastAsia" w:cs="仿宋"/>
          <w:color w:val="auto"/>
          <w:sz w:val="24"/>
          <w:szCs w:val="24"/>
          <w:highlight w:val="none"/>
          <w:lang w:val="en-US" w:eastAsia="zh-CN"/>
        </w:rPr>
        <w:t>14</w:t>
      </w:r>
      <w:r>
        <w:rPr>
          <w:rFonts w:hint="eastAsia" w:ascii="仿宋" w:hAnsi="仿宋" w:eastAsia="仿宋" w:cs="仿宋"/>
          <w:color w:val="auto"/>
          <w:sz w:val="24"/>
          <w:szCs w:val="24"/>
          <w:highlight w:val="none"/>
          <w:lang w:val="en-US" w:eastAsia="zh-CN"/>
        </w:rPr>
        <w:t>日</w:t>
      </w:r>
    </w:p>
    <w:p>
      <w:pPr>
        <w:pStyle w:val="2"/>
        <w:ind w:firstLine="0" w:firstLineChars="0"/>
        <w:jc w:val="center"/>
        <w:rPr>
          <w:rFonts w:hint="eastAsia" w:ascii="仿宋" w:hAnsi="仿宋" w:eastAsia="仿宋" w:cs="仿宋"/>
          <w:color w:val="auto"/>
          <w:sz w:val="24"/>
          <w:szCs w:val="24"/>
          <w:highlight w:val="none"/>
          <w:lang w:bidi="ar"/>
        </w:rPr>
      </w:pPr>
    </w:p>
    <w:p>
      <w:pPr>
        <w:pStyle w:val="95"/>
        <w:spacing w:line="560" w:lineRule="exact"/>
        <w:jc w:val="center"/>
        <w:rPr>
          <w:rFonts w:hint="eastAsia" w:ascii="仿宋" w:hAnsi="仿宋" w:eastAsia="仿宋" w:cs="仿宋"/>
          <w:b/>
          <w:color w:val="auto"/>
          <w:sz w:val="28"/>
          <w:szCs w:val="28"/>
          <w:highlight w:val="none"/>
          <w:lang w:val="zh-CN"/>
        </w:rPr>
        <w:sectPr>
          <w:footerReference r:id="rId3" w:type="default"/>
          <w:pgSz w:w="11906" w:h="16838"/>
          <w:pgMar w:top="1020" w:right="1134" w:bottom="1020" w:left="1134" w:header="567" w:footer="567" w:gutter="0"/>
          <w:pgNumType w:start="1"/>
          <w:cols w:space="0" w:num="1"/>
          <w:docGrid w:type="lines" w:linePitch="312" w:charSpace="0"/>
        </w:sectPr>
      </w:pPr>
    </w:p>
    <w:p>
      <w:pPr>
        <w:widowControl/>
        <w:spacing w:line="500" w:lineRule="exact"/>
        <w:jc w:val="center"/>
        <w:rPr>
          <w:rFonts w:hint="default" w:eastAsia="宋体"/>
          <w:b/>
          <w:bCs/>
          <w:color w:val="auto"/>
          <w:sz w:val="36"/>
          <w:szCs w:val="36"/>
          <w:highlight w:val="none"/>
          <w:lang w:val="en-US" w:eastAsia="zh-CN"/>
        </w:rPr>
      </w:pPr>
      <w:r>
        <w:rPr>
          <w:rFonts w:hint="eastAsia"/>
          <w:b/>
          <w:bCs/>
          <w:color w:val="auto"/>
          <w:sz w:val="36"/>
          <w:szCs w:val="36"/>
          <w:highlight w:val="none"/>
          <w:lang w:eastAsia="zh-CN"/>
        </w:rPr>
        <w:t>第一章</w:t>
      </w:r>
      <w:r>
        <w:rPr>
          <w:rFonts w:hint="eastAsia"/>
          <w:b/>
          <w:bCs/>
          <w:color w:val="auto"/>
          <w:sz w:val="36"/>
          <w:szCs w:val="36"/>
          <w:highlight w:val="none"/>
          <w:lang w:val="en-US" w:eastAsia="zh-CN"/>
        </w:rPr>
        <w:t xml:space="preserve"> 招募公告</w:t>
      </w:r>
    </w:p>
    <w:p>
      <w:pPr>
        <w:widowControl/>
        <w:spacing w:line="500" w:lineRule="exact"/>
        <w:jc w:val="center"/>
        <w:rPr>
          <w:b/>
          <w:bCs/>
          <w:color w:val="auto"/>
          <w:sz w:val="32"/>
          <w:szCs w:val="32"/>
          <w:highlight w:val="none"/>
        </w:rPr>
      </w:pPr>
      <w:r>
        <w:rPr>
          <w:rFonts w:hint="eastAsia"/>
          <w:b/>
          <w:bCs/>
          <w:color w:val="auto"/>
          <w:sz w:val="32"/>
          <w:szCs w:val="32"/>
          <w:highlight w:val="none"/>
        </w:rPr>
        <w:t>中欧餐厅合作联营方招募公告</w:t>
      </w:r>
    </w:p>
    <w:p>
      <w:pPr>
        <w:pStyle w:val="15"/>
        <w:spacing w:line="500" w:lineRule="exact"/>
        <w:rPr>
          <w:rFonts w:hint="default"/>
          <w:color w:val="auto"/>
          <w:highlight w:val="none"/>
        </w:rPr>
      </w:pP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eastAsia="zh-CN"/>
        </w:rPr>
      </w:pPr>
      <w:r>
        <w:rPr>
          <w:rFonts w:hint="eastAsia" w:ascii="仿宋" w:hAnsi="仿宋" w:eastAsia="仿宋" w:cs="Tahoma"/>
          <w:b/>
          <w:bCs/>
          <w:color w:val="auto"/>
          <w:kern w:val="0"/>
          <w:sz w:val="24"/>
          <w:szCs w:val="24"/>
          <w:highlight w:val="none"/>
          <w:lang w:val="en-US" w:eastAsia="zh-CN" w:bidi="ar-SA"/>
        </w:rPr>
        <w:t>一、</w:t>
      </w:r>
      <w:r>
        <w:rPr>
          <w:rFonts w:hint="eastAsia" w:ascii="仿宋" w:hAnsi="仿宋" w:eastAsia="仿宋" w:cs="Tahoma"/>
          <w:b/>
          <w:bCs/>
          <w:color w:val="auto"/>
          <w:kern w:val="0"/>
          <w:sz w:val="24"/>
          <w:szCs w:val="24"/>
          <w:highlight w:val="none"/>
          <w:lang w:eastAsia="zh-CN"/>
        </w:rPr>
        <w:t>项目条件</w:t>
      </w:r>
    </w:p>
    <w:p>
      <w:pPr>
        <w:widowControl/>
        <w:spacing w:line="500" w:lineRule="exact"/>
        <w:ind w:firstLine="548"/>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佛山市新城物业发展有限公司（以下简称“招募方”）</w:t>
      </w:r>
      <w:r>
        <w:rPr>
          <w:rFonts w:hint="eastAsia" w:ascii="仿宋" w:hAnsi="仿宋" w:eastAsia="仿宋" w:cs="仿宋"/>
          <w:color w:val="auto"/>
          <w:sz w:val="24"/>
          <w:szCs w:val="24"/>
          <w:highlight w:val="none"/>
          <w:lang w:val="en-US" w:eastAsia="zh-CN"/>
        </w:rPr>
        <w:t>中欧餐厅合作联营方招募项目（以下简称“本项目”）</w:t>
      </w:r>
      <w:r>
        <w:rPr>
          <w:rFonts w:hint="eastAsia" w:ascii="仿宋" w:hAnsi="仿宋" w:eastAsia="仿宋" w:cs="仿宋"/>
          <w:color w:val="auto"/>
          <w:sz w:val="24"/>
          <w:szCs w:val="24"/>
          <w:highlight w:val="none"/>
        </w:rPr>
        <w:t>已具备</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条件，现对该</w:t>
      </w:r>
      <w:r>
        <w:rPr>
          <w:rFonts w:hint="eastAsia" w:ascii="仿宋" w:hAnsi="仿宋" w:eastAsia="仿宋" w:cs="仿宋"/>
          <w:color w:val="auto"/>
          <w:sz w:val="24"/>
          <w:szCs w:val="24"/>
          <w:highlight w:val="none"/>
          <w:lang w:val="en-US" w:eastAsia="zh-CN"/>
        </w:rPr>
        <w:t>合作联营方招募</w:t>
      </w:r>
      <w:r>
        <w:rPr>
          <w:rFonts w:hint="eastAsia" w:ascii="仿宋" w:hAnsi="仿宋" w:eastAsia="仿宋" w:cs="仿宋"/>
          <w:color w:val="auto"/>
          <w:sz w:val="24"/>
          <w:szCs w:val="24"/>
          <w:highlight w:val="none"/>
        </w:rPr>
        <w:t>实施公开</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活动，公开邀请</w:t>
      </w:r>
      <w:r>
        <w:rPr>
          <w:rFonts w:hint="eastAsia" w:ascii="仿宋" w:hAnsi="仿宋" w:eastAsia="仿宋" w:cs="仿宋"/>
          <w:color w:val="auto"/>
          <w:sz w:val="24"/>
          <w:szCs w:val="24"/>
          <w:highlight w:val="none"/>
          <w:lang w:eastAsia="zh-CN"/>
        </w:rPr>
        <w:t>合格</w:t>
      </w:r>
      <w:r>
        <w:rPr>
          <w:rFonts w:hint="eastAsia" w:ascii="仿宋" w:hAnsi="仿宋" w:eastAsia="仿宋" w:cs="仿宋"/>
          <w:color w:val="auto"/>
          <w:sz w:val="24"/>
          <w:szCs w:val="24"/>
          <w:highlight w:val="none"/>
          <w:lang w:val="en-US" w:eastAsia="zh-CN"/>
        </w:rPr>
        <w:t>意向单位</w:t>
      </w:r>
      <w:r>
        <w:rPr>
          <w:rFonts w:hint="eastAsia" w:ascii="仿宋" w:hAnsi="仿宋" w:eastAsia="仿宋" w:cs="仿宋"/>
          <w:color w:val="auto"/>
          <w:sz w:val="24"/>
          <w:szCs w:val="24"/>
          <w:highlight w:val="none"/>
        </w:rPr>
        <w:t>参加本项目竞争。</w:t>
      </w:r>
    </w:p>
    <w:p>
      <w:pPr>
        <w:widowControl/>
        <w:numPr>
          <w:ilvl w:val="0"/>
          <w:numId w:val="0"/>
        </w:numPr>
        <w:spacing w:line="500" w:lineRule="exact"/>
        <w:ind w:firstLine="548" w:firstLineChars="0"/>
        <w:jc w:val="left"/>
        <w:rPr>
          <w:rFonts w:hint="eastAsia" w:ascii="仿宋" w:hAnsi="仿宋" w:eastAsia="仿宋" w:cs="仿宋"/>
          <w:color w:val="auto"/>
          <w:sz w:val="24"/>
          <w:szCs w:val="24"/>
          <w:highlight w:val="none"/>
          <w:lang w:eastAsia="zh-CN"/>
        </w:rPr>
      </w:pPr>
      <w:r>
        <w:rPr>
          <w:rFonts w:hint="eastAsia" w:ascii="仿宋" w:hAnsi="仿宋" w:eastAsia="仿宋" w:cs="Tahoma"/>
          <w:b/>
          <w:bCs/>
          <w:color w:val="auto"/>
          <w:kern w:val="0"/>
          <w:sz w:val="24"/>
          <w:szCs w:val="24"/>
          <w:highlight w:val="none"/>
          <w:lang w:val="en-US" w:eastAsia="zh-CN" w:bidi="ar-SA"/>
        </w:rPr>
        <w:t>二、</w:t>
      </w:r>
      <w:r>
        <w:rPr>
          <w:rFonts w:hint="eastAsia" w:ascii="仿宋" w:hAnsi="仿宋" w:eastAsia="仿宋" w:cs="Tahoma"/>
          <w:b/>
          <w:bCs/>
          <w:color w:val="auto"/>
          <w:kern w:val="0"/>
          <w:sz w:val="24"/>
          <w:szCs w:val="24"/>
          <w:highlight w:val="none"/>
          <w:lang w:eastAsia="zh-CN"/>
        </w:rPr>
        <w:t>项目内容及范围</w:t>
      </w:r>
    </w:p>
    <w:p>
      <w:pPr>
        <w:widowControl/>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2.1</w:t>
      </w:r>
      <w:r>
        <w:rPr>
          <w:rFonts w:hint="eastAsia" w:ascii="仿宋" w:hAnsi="仿宋" w:eastAsia="仿宋" w:cs="Tahoma"/>
          <w:color w:val="auto"/>
          <w:kern w:val="0"/>
          <w:sz w:val="24"/>
          <w:szCs w:val="24"/>
          <w:highlight w:val="none"/>
        </w:rPr>
        <w:t>项目名称：中欧餐厅合作联营方招募</w:t>
      </w:r>
    </w:p>
    <w:p>
      <w:pPr>
        <w:widowControl/>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rPr>
        <w:t>2.</w:t>
      </w:r>
      <w:r>
        <w:rPr>
          <w:rFonts w:hint="eastAsia" w:ascii="仿宋" w:hAnsi="仿宋" w:eastAsia="仿宋" w:cs="Tahoma"/>
          <w:color w:val="auto"/>
          <w:kern w:val="0"/>
          <w:sz w:val="24"/>
          <w:szCs w:val="24"/>
          <w:highlight w:val="none"/>
          <w:lang w:val="en-US" w:eastAsia="zh-CN"/>
        </w:rPr>
        <w:t>2</w:t>
      </w:r>
      <w:r>
        <w:rPr>
          <w:rFonts w:hint="eastAsia" w:ascii="仿宋" w:hAnsi="仿宋" w:eastAsia="仿宋" w:cs="Tahoma"/>
          <w:color w:val="auto"/>
          <w:kern w:val="0"/>
          <w:sz w:val="24"/>
          <w:szCs w:val="24"/>
          <w:highlight w:val="none"/>
        </w:rPr>
        <w:t>招募单位：佛山市新城物业发展有限公司</w:t>
      </w:r>
    </w:p>
    <w:p>
      <w:pPr>
        <w:widowControl/>
        <w:spacing w:line="500" w:lineRule="exact"/>
        <w:ind w:firstLine="548"/>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2.</w:t>
      </w:r>
      <w:r>
        <w:rPr>
          <w:rFonts w:hint="eastAsia" w:ascii="仿宋" w:hAnsi="仿宋" w:eastAsia="仿宋" w:cs="Tahoma"/>
          <w:color w:val="auto"/>
          <w:kern w:val="0"/>
          <w:sz w:val="24"/>
          <w:szCs w:val="24"/>
          <w:highlight w:val="none"/>
        </w:rPr>
        <w:t>3项目类型：合作经营类</w:t>
      </w:r>
    </w:p>
    <w:p>
      <w:pPr>
        <w:widowControl/>
        <w:spacing w:line="500" w:lineRule="exact"/>
        <w:ind w:firstLine="548"/>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2.4项目概括：</w:t>
      </w:r>
      <w:r>
        <w:rPr>
          <w:rFonts w:hint="eastAsia" w:ascii="仿宋" w:hAnsi="仿宋" w:eastAsia="仿宋" w:cs="仿宋"/>
          <w:color w:val="auto"/>
          <w:sz w:val="24"/>
          <w:szCs w:val="24"/>
          <w:highlight w:val="none"/>
        </w:rPr>
        <w:t>中欧餐厅位于佛山市顺德区乐从镇佛山新城岭南大道南2号中欧中心C栋二层及三层（L2-L3），地理位置优越。餐厅服务于中欧园区内约1000名进驻企业员工，旨在打造一个集多元化、智能化于一体的美食中心，满足进驻企业员工的日常餐饮需求。</w:t>
      </w:r>
    </w:p>
    <w:p>
      <w:pPr>
        <w:widowControl/>
        <w:spacing w:line="500" w:lineRule="exact"/>
        <w:ind w:firstLine="548"/>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现面向全社会公开招募1家具有专业资质和丰富经验的餐厅合作联营单位（以下简称“合作单位”），共同为中欧中心园区内的企业提供高品质的餐饮服务，打造一流的企业餐饮环境。</w:t>
      </w:r>
    </w:p>
    <w:tbl>
      <w:tblPr>
        <w:tblStyle w:val="26"/>
        <w:tblW w:w="10409" w:type="dxa"/>
        <w:tblInd w:w="-28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34"/>
        <w:gridCol w:w="3600"/>
        <w:gridCol w:w="1675"/>
        <w:gridCol w:w="24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75" w:hRule="atLeast"/>
        </w:trPr>
        <w:tc>
          <w:tcPr>
            <w:tcW w:w="75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934"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合作内容</w:t>
            </w:r>
          </w:p>
        </w:tc>
        <w:tc>
          <w:tcPr>
            <w:tcW w:w="360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合作期</w:t>
            </w:r>
          </w:p>
        </w:tc>
        <w:tc>
          <w:tcPr>
            <w:tcW w:w="1675"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联营单位数量</w:t>
            </w:r>
          </w:p>
        </w:tc>
        <w:tc>
          <w:tcPr>
            <w:tcW w:w="245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本项目最低响应限价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1934"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中欧餐厅合作联营</w:t>
            </w:r>
            <w:r>
              <w:rPr>
                <w:rFonts w:hint="eastAsia" w:ascii="仿宋" w:hAnsi="仿宋" w:eastAsia="仿宋" w:cs="Tahoma"/>
                <w:color w:val="auto"/>
                <w:highlight w:val="none"/>
              </w:rPr>
              <w:t>方招募</w:t>
            </w:r>
          </w:p>
        </w:tc>
        <w:tc>
          <w:tcPr>
            <w:tcW w:w="360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合同框架期限为5年，首次签订合同期为3年（从合同签订之日起算），首年免收管理</w:t>
            </w:r>
            <w:r>
              <w:rPr>
                <w:rFonts w:hint="eastAsia" w:ascii="仿宋" w:hAnsi="仿宋" w:eastAsia="仿宋" w:cs="仿宋"/>
                <w:color w:val="auto"/>
                <w:highlight w:val="none"/>
                <w:lang w:eastAsia="zh-CN"/>
              </w:rPr>
              <w:t>服务</w:t>
            </w:r>
            <w:r>
              <w:rPr>
                <w:rFonts w:hint="eastAsia" w:ascii="仿宋" w:hAnsi="仿宋" w:eastAsia="仿宋" w:cs="仿宋"/>
                <w:color w:val="auto"/>
                <w:highlight w:val="none"/>
              </w:rPr>
              <w:t>费。3年期满前30天内,招募方</w:t>
            </w:r>
            <w:r>
              <w:rPr>
                <w:rFonts w:hint="eastAsia" w:ascii="仿宋" w:hAnsi="仿宋" w:eastAsia="仿宋" w:cs="仿宋"/>
                <w:color w:val="auto"/>
                <w:highlight w:val="none"/>
                <w:lang w:eastAsia="zh-CN"/>
              </w:rPr>
              <w:t>对</w:t>
            </w:r>
            <w:r>
              <w:rPr>
                <w:rFonts w:hint="eastAsia" w:ascii="仿宋" w:hAnsi="仿宋" w:eastAsia="仿宋" w:cs="仿宋"/>
                <w:color w:val="auto"/>
                <w:highlight w:val="none"/>
              </w:rPr>
              <w:t>合作单位运营管理情况</w:t>
            </w:r>
            <w:r>
              <w:rPr>
                <w:rFonts w:hint="eastAsia" w:ascii="仿宋" w:hAnsi="仿宋" w:eastAsia="仿宋" w:cs="仿宋"/>
                <w:color w:val="auto"/>
                <w:highlight w:val="none"/>
                <w:lang w:eastAsia="zh-CN"/>
              </w:rPr>
              <w:t>进行综合评价</w:t>
            </w:r>
            <w:r>
              <w:rPr>
                <w:rFonts w:hint="eastAsia" w:ascii="仿宋" w:hAnsi="仿宋" w:eastAsia="仿宋" w:cs="仿宋"/>
                <w:color w:val="auto"/>
                <w:highlight w:val="none"/>
              </w:rPr>
              <w:t>,如</w:t>
            </w:r>
            <w:r>
              <w:rPr>
                <w:rFonts w:hint="eastAsia" w:ascii="仿宋" w:hAnsi="仿宋" w:eastAsia="仿宋" w:cs="仿宋"/>
                <w:color w:val="auto"/>
                <w:highlight w:val="none"/>
                <w:lang w:eastAsia="zh-CN"/>
              </w:rPr>
              <w:t>综合</w:t>
            </w:r>
            <w:r>
              <w:rPr>
                <w:rFonts w:hint="eastAsia" w:ascii="仿宋" w:hAnsi="仿宋" w:eastAsia="仿宋" w:cs="仿宋"/>
                <w:color w:val="auto"/>
                <w:highlight w:val="none"/>
              </w:rPr>
              <w:t>评价结果为满意</w:t>
            </w:r>
            <w:r>
              <w:rPr>
                <w:rFonts w:hint="eastAsia" w:ascii="仿宋" w:hAnsi="仿宋" w:eastAsia="仿宋" w:cs="仿宋"/>
                <w:color w:val="auto"/>
                <w:highlight w:val="none"/>
                <w:lang w:eastAsia="zh-CN"/>
              </w:rPr>
              <w:t>，双方</w:t>
            </w:r>
            <w:r>
              <w:rPr>
                <w:rFonts w:hint="eastAsia" w:ascii="仿宋" w:hAnsi="仿宋" w:eastAsia="仿宋" w:cs="仿宋"/>
                <w:color w:val="auto"/>
                <w:highlight w:val="none"/>
              </w:rPr>
              <w:t>续签2年合同。若</w:t>
            </w:r>
            <w:r>
              <w:rPr>
                <w:rFonts w:hint="eastAsia" w:ascii="仿宋" w:hAnsi="仿宋" w:eastAsia="仿宋" w:cs="仿宋"/>
                <w:color w:val="auto"/>
                <w:highlight w:val="none"/>
                <w:lang w:eastAsia="zh-CN"/>
              </w:rPr>
              <w:t>综合</w:t>
            </w:r>
            <w:r>
              <w:rPr>
                <w:rFonts w:hint="eastAsia" w:ascii="仿宋" w:hAnsi="仿宋" w:eastAsia="仿宋" w:cs="仿宋"/>
                <w:color w:val="auto"/>
                <w:highlight w:val="none"/>
              </w:rPr>
              <w:t>评价结果为不满意，双方不再续签合同，</w:t>
            </w:r>
            <w:r>
              <w:rPr>
                <w:rFonts w:hint="eastAsia" w:ascii="仿宋" w:hAnsi="仿宋" w:eastAsia="仿宋" w:cs="仿宋"/>
                <w:color w:val="auto"/>
                <w:highlight w:val="none"/>
                <w:lang w:eastAsia="zh-CN"/>
              </w:rPr>
              <w:t>招募方</w:t>
            </w:r>
            <w:r>
              <w:rPr>
                <w:rFonts w:hint="eastAsia" w:ascii="仿宋" w:hAnsi="仿宋" w:eastAsia="仿宋" w:cs="仿宋"/>
                <w:color w:val="auto"/>
                <w:highlight w:val="none"/>
              </w:rPr>
              <w:t>无需承担任何违约责任，</w:t>
            </w:r>
            <w:r>
              <w:rPr>
                <w:rFonts w:hint="eastAsia" w:ascii="仿宋" w:hAnsi="仿宋" w:eastAsia="仿宋" w:cs="仿宋"/>
                <w:color w:val="auto"/>
                <w:highlight w:val="none"/>
                <w:lang w:eastAsia="zh-CN"/>
              </w:rPr>
              <w:t>合作单位</w:t>
            </w:r>
            <w:r>
              <w:rPr>
                <w:rFonts w:hint="eastAsia" w:ascii="仿宋" w:hAnsi="仿宋" w:eastAsia="仿宋" w:cs="仿宋"/>
                <w:color w:val="auto"/>
                <w:highlight w:val="none"/>
              </w:rPr>
              <w:t>对此不持任何异议。</w:t>
            </w:r>
          </w:p>
        </w:tc>
        <w:tc>
          <w:tcPr>
            <w:tcW w:w="1675"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1家</w:t>
            </w:r>
          </w:p>
        </w:tc>
        <w:tc>
          <w:tcPr>
            <w:tcW w:w="245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管理服务费270000.00元/年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trPr>
        <w:tc>
          <w:tcPr>
            <w:tcW w:w="7959" w:type="dxa"/>
            <w:gridSpan w:val="4"/>
            <w:tcBorders>
              <w:tl2br w:val="nil"/>
              <w:tr2bl w:val="nil"/>
            </w:tcBorders>
            <w:vAlign w:val="center"/>
          </w:tcPr>
          <w:p>
            <w:pPr>
              <w:pStyle w:val="22"/>
              <w:spacing w:line="500" w:lineRule="exact"/>
              <w:jc w:val="right"/>
              <w:rPr>
                <w:rFonts w:ascii="仿宋" w:hAnsi="仿宋" w:eastAsia="仿宋" w:cs="仿宋"/>
                <w:color w:val="auto"/>
                <w:highlight w:val="none"/>
              </w:rPr>
            </w:pPr>
            <w:r>
              <w:rPr>
                <w:rFonts w:hint="eastAsia" w:ascii="仿宋" w:hAnsi="仿宋" w:eastAsia="仿宋" w:cs="仿宋"/>
                <w:color w:val="auto"/>
                <w:highlight w:val="none"/>
              </w:rPr>
              <w:t>合计：</w:t>
            </w:r>
          </w:p>
        </w:tc>
        <w:tc>
          <w:tcPr>
            <w:tcW w:w="2450" w:type="dxa"/>
            <w:tcBorders>
              <w:tl2br w:val="nil"/>
              <w:tr2bl w:val="nil"/>
            </w:tcBorders>
            <w:vAlign w:val="center"/>
          </w:tcPr>
          <w:p>
            <w:pPr>
              <w:pStyle w:val="22"/>
              <w:spacing w:line="500" w:lineRule="exact"/>
              <w:jc w:val="center"/>
              <w:rPr>
                <w:rFonts w:ascii="仿宋" w:hAnsi="仿宋" w:eastAsia="仿宋" w:cs="仿宋"/>
                <w:color w:val="auto"/>
                <w:highlight w:val="none"/>
              </w:rPr>
            </w:pPr>
            <w:r>
              <w:rPr>
                <w:rFonts w:hint="eastAsia" w:ascii="仿宋" w:hAnsi="仿宋" w:eastAsia="仿宋" w:cs="仿宋"/>
                <w:color w:val="auto"/>
                <w:highlight w:val="none"/>
              </w:rPr>
              <w:t>1080000.00元</w:t>
            </w:r>
          </w:p>
        </w:tc>
      </w:tr>
    </w:tbl>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eastAsia="zh-CN"/>
        </w:rPr>
      </w:pPr>
      <w:r>
        <w:rPr>
          <w:rFonts w:hint="eastAsia" w:ascii="仿宋" w:hAnsi="仿宋" w:eastAsia="仿宋" w:cs="Tahoma"/>
          <w:b/>
          <w:bCs/>
          <w:color w:val="auto"/>
          <w:kern w:val="0"/>
          <w:sz w:val="24"/>
          <w:szCs w:val="24"/>
          <w:highlight w:val="none"/>
          <w:lang w:eastAsia="zh-CN"/>
        </w:rPr>
        <w:t>三、响应单位资格要求</w:t>
      </w:r>
    </w:p>
    <w:p>
      <w:pPr>
        <w:widowControl/>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3.1响应单位资格要求：</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3.1.1</w:t>
      </w:r>
      <w:r>
        <w:rPr>
          <w:rFonts w:hint="eastAsia" w:ascii="仿宋" w:hAnsi="仿宋" w:eastAsia="仿宋" w:cs="Tahoma"/>
          <w:color w:val="auto"/>
          <w:kern w:val="0"/>
          <w:sz w:val="24"/>
          <w:szCs w:val="24"/>
          <w:highlight w:val="none"/>
          <w:lang w:eastAsia="zh-CN"/>
        </w:rPr>
        <w:t>响应单位</w:t>
      </w:r>
      <w:r>
        <w:rPr>
          <w:rFonts w:hint="eastAsia" w:ascii="仿宋" w:hAnsi="仿宋" w:eastAsia="仿宋" w:cs="Tahoma"/>
          <w:color w:val="auto"/>
          <w:kern w:val="0"/>
          <w:sz w:val="24"/>
          <w:szCs w:val="24"/>
          <w:highlight w:val="none"/>
        </w:rPr>
        <w:t>必须是具有独立承担民事责任能力的在中华人民共和国境内注册的法人或其他组织。</w:t>
      </w:r>
    </w:p>
    <w:p>
      <w:pPr>
        <w:widowControl/>
        <w:spacing w:line="500" w:lineRule="exact"/>
        <w:ind w:firstLine="48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3.1.2</w:t>
      </w:r>
      <w:r>
        <w:rPr>
          <w:rFonts w:hint="eastAsia" w:ascii="仿宋" w:hAnsi="仿宋" w:eastAsia="仿宋" w:cs="Tahoma"/>
          <w:color w:val="auto"/>
          <w:kern w:val="0"/>
          <w:sz w:val="24"/>
          <w:szCs w:val="24"/>
          <w:highlight w:val="none"/>
        </w:rPr>
        <w:t>响应单位未被列入“信用中国”网站(www.creditchina.gov.cn)记录“失信被执行人或重大税收违法案件当事人或政府采购不良行为记录”记录名单；不处于中国政府采购网（www.ccgp.gov.cn)“政府采购严重违法失信行为信息记录”中的禁止参加政府采购活动期间。</w:t>
      </w:r>
      <w:r>
        <w:rPr>
          <w:rFonts w:hint="eastAsia" w:ascii="仿宋" w:hAnsi="仿宋" w:eastAsia="仿宋" w:cs="Tahoma"/>
          <w:color w:val="auto"/>
          <w:kern w:val="0"/>
          <w:sz w:val="24"/>
          <w:szCs w:val="24"/>
          <w:highlight w:val="none"/>
          <w:lang w:eastAsia="zh-CN"/>
        </w:rPr>
        <w:t>【</w:t>
      </w:r>
      <w:r>
        <w:rPr>
          <w:rFonts w:hint="eastAsia" w:ascii="仿宋" w:hAnsi="仿宋" w:eastAsia="仿宋" w:cs="Tahoma"/>
          <w:color w:val="auto"/>
          <w:kern w:val="0"/>
          <w:sz w:val="24"/>
          <w:szCs w:val="24"/>
          <w:highlight w:val="none"/>
        </w:rPr>
        <w:t>以招募方于响应截止日当天在“信用中国”网站（www.creditchina.gov.cn）及中国政府采购网（www.ccgp.gov.cn)查询结果为准，如相关失信记录已失效，响应单位需提供相关证明资料</w:t>
      </w:r>
      <w:r>
        <w:rPr>
          <w:rFonts w:hint="eastAsia" w:ascii="仿宋" w:hAnsi="仿宋" w:eastAsia="仿宋" w:cs="Tahoma"/>
          <w:color w:val="auto"/>
          <w:kern w:val="0"/>
          <w:sz w:val="24"/>
          <w:szCs w:val="24"/>
          <w:highlight w:val="none"/>
          <w:lang w:eastAsia="zh-CN"/>
        </w:rPr>
        <w:t>】</w:t>
      </w:r>
      <w:r>
        <w:rPr>
          <w:rFonts w:hint="eastAsia" w:ascii="仿宋" w:hAnsi="仿宋" w:eastAsia="仿宋" w:cs="Tahoma"/>
          <w:color w:val="auto"/>
          <w:kern w:val="0"/>
          <w:sz w:val="24"/>
          <w:szCs w:val="24"/>
          <w:highlight w:val="none"/>
        </w:rPr>
        <w:t>。</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3.1.3</w:t>
      </w:r>
      <w:r>
        <w:rPr>
          <w:rFonts w:hint="eastAsia" w:ascii="仿宋" w:hAnsi="仿宋" w:eastAsia="仿宋" w:cs="Tahoma"/>
          <w:color w:val="auto"/>
          <w:kern w:val="0"/>
          <w:sz w:val="24"/>
          <w:szCs w:val="24"/>
          <w:highlight w:val="none"/>
        </w:rPr>
        <w:t>响应单位</w:t>
      </w:r>
      <w:r>
        <w:rPr>
          <w:rFonts w:hint="eastAsia" w:ascii="仿宋" w:hAnsi="仿宋" w:eastAsia="仿宋" w:cs="Tahoma"/>
          <w:color w:val="auto"/>
          <w:kern w:val="0"/>
          <w:sz w:val="24"/>
          <w:szCs w:val="24"/>
          <w:highlight w:val="none"/>
          <w:lang w:eastAsia="zh-CN"/>
        </w:rPr>
        <w:t>必须</w:t>
      </w:r>
      <w:r>
        <w:rPr>
          <w:rFonts w:hint="eastAsia" w:ascii="仿宋" w:hAnsi="仿宋" w:eastAsia="仿宋" w:cs="Tahoma"/>
          <w:color w:val="auto"/>
          <w:kern w:val="0"/>
          <w:sz w:val="24"/>
          <w:szCs w:val="24"/>
          <w:highlight w:val="none"/>
        </w:rPr>
        <w:t>具有有效的《食品经营许可证》或《食品生产许可证》。如</w:t>
      </w:r>
      <w:r>
        <w:rPr>
          <w:rFonts w:hint="eastAsia" w:ascii="仿宋" w:hAnsi="仿宋" w:eastAsia="仿宋" w:cs="Tahoma"/>
          <w:color w:val="auto"/>
          <w:kern w:val="0"/>
          <w:sz w:val="24"/>
          <w:szCs w:val="24"/>
          <w:highlight w:val="none"/>
          <w:lang w:val="en-US" w:eastAsia="zh-CN"/>
        </w:rPr>
        <w:t>响应单位</w:t>
      </w:r>
      <w:r>
        <w:rPr>
          <w:rFonts w:hint="eastAsia" w:ascii="仿宋" w:hAnsi="仿宋" w:eastAsia="仿宋" w:cs="Tahoma"/>
          <w:color w:val="auto"/>
          <w:kern w:val="0"/>
          <w:sz w:val="24"/>
          <w:szCs w:val="24"/>
          <w:highlight w:val="none"/>
        </w:rPr>
        <w:t>的许可证与营业执照合并办理的，提供扫描营业执照二维码后的有效备案信息截图。</w:t>
      </w:r>
    </w:p>
    <w:p>
      <w:pPr>
        <w:widowControl/>
        <w:numPr>
          <w:ilvl w:val="255"/>
          <w:numId w:val="0"/>
        </w:numPr>
        <w:spacing w:line="500" w:lineRule="exact"/>
        <w:jc w:val="left"/>
        <w:rPr>
          <w:rFonts w:hint="default"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 xml:space="preserve">    3.1.4响应单位负责人为同一人或者存在直接控股、管理关系的不同响应单位，不得同时参加本项目响应。</w:t>
      </w:r>
      <w:r>
        <w:rPr>
          <w:rFonts w:hint="eastAsia" w:ascii="仿宋" w:hAnsi="仿宋" w:eastAsia="仿宋" w:cs="仿宋"/>
          <w:i w:val="0"/>
          <w:iCs w:val="0"/>
          <w:color w:val="auto"/>
          <w:sz w:val="24"/>
          <w:szCs w:val="24"/>
          <w:highlight w:val="none"/>
          <w:lang w:eastAsia="zh-CN"/>
        </w:rPr>
        <w:t>（提供《</w:t>
      </w:r>
      <w:r>
        <w:rPr>
          <w:rFonts w:hint="eastAsia" w:ascii="仿宋" w:hAnsi="仿宋" w:eastAsia="仿宋" w:cs="仿宋"/>
          <w:i w:val="0"/>
          <w:iCs w:val="0"/>
          <w:color w:val="auto"/>
          <w:sz w:val="24"/>
          <w:szCs w:val="24"/>
          <w:highlight w:val="none"/>
          <w:lang w:val="en-US" w:eastAsia="zh-CN"/>
        </w:rPr>
        <w:t>响应单位</w:t>
      </w:r>
      <w:r>
        <w:rPr>
          <w:rFonts w:hint="eastAsia" w:ascii="仿宋" w:hAnsi="仿宋" w:eastAsia="仿宋" w:cs="仿宋"/>
          <w:i w:val="0"/>
          <w:iCs w:val="0"/>
          <w:color w:val="auto"/>
          <w:sz w:val="24"/>
          <w:szCs w:val="24"/>
          <w:highlight w:val="none"/>
          <w:lang w:eastAsia="zh-CN"/>
        </w:rPr>
        <w:t>资格声明函》）</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3.2响应单位不得存在下列情形之一</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（1）与本项目其他响应单位的单位负责人为同一人。</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（2）与本项目其他响应单位存在直接控股关系。</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（3）与本项目其他响应单位存在管理关系。</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（4）存在严重不良情形，包括：</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①被本项目所在地省级以上行业主管部门依法暂停响应、取消参加政府采购活动资格的。</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②处于被责令停产停业、暂扣或者吊销执照、暂扣或者吊销许可证、吊销资质证书状态的。</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③财产被接管、冻结，或进入清算程序，或被宣告破产，或其他丧失履约能力情形的。</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④受到取消响应资格的行政处罚。（此处所指的“处罚”，是指依据《中华人民共和国行政处罚法》作出的有关取消响应资格的行政处罚，且该行政处罚信息已按照行政执法公示制度公开，除此之外，其他以通知、通报等形式或依据规范性文件对申请人响应资格作出的限制，不属于此处所指的“处罚”范畴）</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⑤在最近三年内有骗取中标。（此处“骗取中标”是指依据《中华人民共和国行政处罚法》所作出的《行政处罚决定书》中所认定的违法行为；“最近三年”是指该项目招募公告发出之日起往前顺推三年，以《行政处罚决定书》或司法、仲裁机构等出具的生效文件的落款时间为准）</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⑥根据佛山市中级人民法院《启用执行联动机制决定书》和《协助执行通知书》的要求，申请人若为名单上的失信被执行人，将被列入交易黑名单，且不得参与本项目招募活动。</w:t>
      </w:r>
    </w:p>
    <w:p>
      <w:pPr>
        <w:widowControl/>
        <w:numPr>
          <w:ilvl w:val="255"/>
          <w:numId w:val="0"/>
        </w:numPr>
        <w:spacing w:line="500" w:lineRule="exact"/>
        <w:ind w:firstLine="480" w:firstLineChars="200"/>
        <w:jc w:val="left"/>
        <w:rPr>
          <w:rFonts w:hint="default"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⑦根据公司响应单位管理要求，被禁止参与响应活动且处于有效期内的。</w:t>
      </w:r>
    </w:p>
    <w:p>
      <w:pPr>
        <w:widowControl/>
        <w:numPr>
          <w:ilvl w:val="255"/>
          <w:numId w:val="0"/>
        </w:numPr>
        <w:spacing w:line="500" w:lineRule="exact"/>
        <w:ind w:firstLine="480" w:firstLineChars="200"/>
        <w:jc w:val="left"/>
        <w:rPr>
          <w:rFonts w:hint="default"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3.3</w:t>
      </w:r>
      <w:r>
        <w:rPr>
          <w:rFonts w:hint="eastAsia" w:ascii="仿宋" w:hAnsi="仿宋" w:eastAsia="仿宋" w:cs="Tahoma"/>
          <w:color w:val="auto"/>
          <w:kern w:val="0"/>
          <w:sz w:val="24"/>
          <w:szCs w:val="24"/>
          <w:highlight w:val="none"/>
        </w:rPr>
        <w:t>本项目不接受联合体参与响应。</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bookmarkStart w:id="0" w:name="_Toc24307"/>
      <w:r>
        <w:rPr>
          <w:rFonts w:hint="eastAsia" w:ascii="仿宋" w:hAnsi="仿宋" w:eastAsia="仿宋" w:cs="Tahoma"/>
          <w:b/>
          <w:bCs/>
          <w:color w:val="auto"/>
          <w:kern w:val="0"/>
          <w:sz w:val="24"/>
          <w:szCs w:val="24"/>
          <w:highlight w:val="none"/>
          <w:lang w:val="en-US" w:eastAsia="zh-CN"/>
        </w:rPr>
        <w:t>四.技术成果的补偿（如有）</w:t>
      </w:r>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本次招募对未成交响应单位的技术成果不予补偿。</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eastAsia="zh-CN"/>
        </w:rPr>
      </w:pPr>
      <w:r>
        <w:rPr>
          <w:rFonts w:hint="eastAsia" w:ascii="仿宋" w:hAnsi="仿宋" w:eastAsia="仿宋" w:cs="Tahoma"/>
          <w:b/>
          <w:bCs/>
          <w:color w:val="auto"/>
          <w:kern w:val="0"/>
          <w:sz w:val="24"/>
          <w:szCs w:val="24"/>
          <w:highlight w:val="none"/>
          <w:lang w:val="en-US" w:eastAsia="zh-CN"/>
        </w:rPr>
        <w:t>五、</w:t>
      </w:r>
      <w:r>
        <w:rPr>
          <w:rFonts w:hint="eastAsia" w:ascii="仿宋" w:hAnsi="仿宋" w:eastAsia="仿宋" w:cs="Tahoma"/>
          <w:b/>
          <w:bCs/>
          <w:color w:val="auto"/>
          <w:kern w:val="0"/>
          <w:sz w:val="24"/>
          <w:szCs w:val="24"/>
          <w:highlight w:val="none"/>
          <w:lang w:eastAsia="zh-CN"/>
        </w:rPr>
        <w:t>招募文件的获取</w:t>
      </w:r>
      <w:bookmarkEnd w:id="0"/>
    </w:p>
    <w:p>
      <w:pPr>
        <w:widowControl/>
        <w:numPr>
          <w:ilvl w:val="255"/>
          <w:numId w:val="0"/>
        </w:numPr>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在线获取，响应单位应在佛山市顺德区公共资源交易中心平台、广东顺铁控股有限公司网站、佛山市新城物业发展有限公司微信公众号下载招募文件，下载路径为佛山市顺德区公共资源交易中心平台（https://www.shunde.gov.cn/ggzy/sylm/）、广东顺铁控股有限公司网站（http://www.fsxckf.com/）、佛山市新城物业发展有限公司微信公众号“佛山新城物业”。</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eastAsia="zh-CN"/>
        </w:rPr>
      </w:pPr>
      <w:r>
        <w:rPr>
          <w:rFonts w:hint="eastAsia" w:ascii="仿宋" w:hAnsi="仿宋" w:eastAsia="仿宋" w:cs="Tahoma"/>
          <w:b/>
          <w:bCs/>
          <w:color w:val="auto"/>
          <w:kern w:val="0"/>
          <w:sz w:val="24"/>
          <w:szCs w:val="24"/>
          <w:highlight w:val="none"/>
          <w:lang w:val="en-US" w:eastAsia="zh-CN"/>
        </w:rPr>
        <w:t>六、</w:t>
      </w:r>
      <w:r>
        <w:rPr>
          <w:rFonts w:hint="eastAsia" w:ascii="仿宋" w:hAnsi="仿宋" w:eastAsia="仿宋" w:cs="Tahoma"/>
          <w:b/>
          <w:bCs/>
          <w:color w:val="auto"/>
          <w:kern w:val="0"/>
          <w:sz w:val="24"/>
          <w:szCs w:val="24"/>
          <w:highlight w:val="none"/>
          <w:lang w:eastAsia="zh-CN"/>
        </w:rPr>
        <w:t>响应文件的提交</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6</w:t>
      </w:r>
      <w:r>
        <w:rPr>
          <w:rFonts w:hint="eastAsia" w:ascii="仿宋" w:hAnsi="仿宋" w:eastAsia="仿宋" w:cs="Tahoma"/>
          <w:color w:val="auto"/>
          <w:kern w:val="0"/>
          <w:sz w:val="24"/>
          <w:szCs w:val="24"/>
          <w:highlight w:val="none"/>
        </w:rPr>
        <w:t>.1递交响应文件时间</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rPr>
        <w:t xml:space="preserve"> 2025年</w:t>
      </w:r>
      <w:r>
        <w:rPr>
          <w:rFonts w:hint="eastAsia" w:ascii="仿宋" w:hAnsi="仿宋" w:eastAsia="仿宋" w:cs="Tahoma"/>
          <w:color w:val="auto"/>
          <w:kern w:val="0"/>
          <w:sz w:val="24"/>
          <w:szCs w:val="24"/>
          <w:highlight w:val="none"/>
          <w:lang w:val="en-US" w:eastAsia="zh-CN"/>
        </w:rPr>
        <w:t>1</w:t>
      </w:r>
      <w:r>
        <w:rPr>
          <w:rFonts w:hint="eastAsia" w:ascii="仿宋" w:hAnsi="仿宋" w:eastAsia="仿宋" w:cs="Tahoma"/>
          <w:color w:val="auto"/>
          <w:kern w:val="0"/>
          <w:sz w:val="24"/>
          <w:szCs w:val="24"/>
          <w:highlight w:val="none"/>
        </w:rPr>
        <w:t>月</w:t>
      </w:r>
      <w:r>
        <w:rPr>
          <w:rFonts w:hint="eastAsia" w:ascii="仿宋" w:hAnsi="仿宋" w:eastAsia="仿宋" w:cs="Tahoma"/>
          <w:color w:val="auto"/>
          <w:kern w:val="0"/>
          <w:sz w:val="24"/>
          <w:szCs w:val="24"/>
          <w:highlight w:val="none"/>
          <w:lang w:val="en-US" w:eastAsia="zh-CN"/>
        </w:rPr>
        <w:t>20</w:t>
      </w:r>
      <w:r>
        <w:rPr>
          <w:rFonts w:hint="eastAsia" w:ascii="仿宋" w:hAnsi="仿宋" w:eastAsia="仿宋" w:cs="Tahoma"/>
          <w:color w:val="auto"/>
          <w:kern w:val="0"/>
          <w:sz w:val="24"/>
          <w:szCs w:val="24"/>
          <w:highlight w:val="none"/>
        </w:rPr>
        <w:t>日</w:t>
      </w:r>
      <w:r>
        <w:rPr>
          <w:rFonts w:hint="eastAsia" w:ascii="仿宋" w:hAnsi="仿宋" w:eastAsia="仿宋" w:cs="Tahoma"/>
          <w:color w:val="auto"/>
          <w:kern w:val="0"/>
          <w:sz w:val="24"/>
          <w:szCs w:val="24"/>
          <w:highlight w:val="none"/>
          <w:lang w:val="en-US" w:eastAsia="zh-CN"/>
        </w:rPr>
        <w:t>9时30分至10</w:t>
      </w:r>
      <w:r>
        <w:rPr>
          <w:rFonts w:hint="eastAsia" w:ascii="仿宋" w:hAnsi="仿宋" w:eastAsia="仿宋" w:cs="Tahoma"/>
          <w:color w:val="auto"/>
          <w:kern w:val="0"/>
          <w:sz w:val="24"/>
          <w:szCs w:val="24"/>
          <w:highlight w:val="none"/>
        </w:rPr>
        <w:t>时30分（北京时间）。</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6</w:t>
      </w:r>
      <w:r>
        <w:rPr>
          <w:rFonts w:hint="eastAsia" w:ascii="仿宋" w:hAnsi="仿宋" w:eastAsia="仿宋" w:cs="Tahoma"/>
          <w:color w:val="auto"/>
          <w:kern w:val="0"/>
          <w:sz w:val="24"/>
          <w:szCs w:val="24"/>
          <w:highlight w:val="none"/>
        </w:rPr>
        <w:t>.2递交地址</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rPr>
        <w:t>指派专人送至佛山市顺德区</w:t>
      </w:r>
      <w:r>
        <w:rPr>
          <w:rFonts w:hint="eastAsia" w:ascii="仿宋" w:hAnsi="仿宋" w:eastAsia="仿宋" w:cs="Tahoma"/>
          <w:color w:val="auto"/>
          <w:kern w:val="0"/>
          <w:sz w:val="24"/>
          <w:szCs w:val="24"/>
          <w:highlight w:val="none"/>
          <w:lang w:eastAsia="zh-CN"/>
        </w:rPr>
        <w:t>北滘镇高村村裕和东路</w:t>
      </w:r>
      <w:r>
        <w:rPr>
          <w:rFonts w:hint="eastAsia" w:ascii="仿宋" w:hAnsi="仿宋" w:eastAsia="仿宋" w:cs="Tahoma"/>
          <w:color w:val="auto"/>
          <w:kern w:val="0"/>
          <w:sz w:val="24"/>
          <w:szCs w:val="24"/>
          <w:highlight w:val="none"/>
          <w:lang w:val="en-US" w:eastAsia="zh-CN"/>
        </w:rPr>
        <w:t>102号2号楼6楼会议室</w:t>
      </w:r>
      <w:r>
        <w:rPr>
          <w:rFonts w:hint="eastAsia" w:ascii="仿宋" w:hAnsi="仿宋" w:eastAsia="仿宋" w:cs="Tahoma"/>
          <w:color w:val="auto"/>
          <w:kern w:val="0"/>
          <w:sz w:val="24"/>
          <w:szCs w:val="24"/>
          <w:highlight w:val="none"/>
        </w:rPr>
        <w:t>。</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6</w:t>
      </w:r>
      <w:r>
        <w:rPr>
          <w:rFonts w:hint="eastAsia" w:ascii="仿宋" w:hAnsi="仿宋" w:eastAsia="仿宋" w:cs="Tahoma"/>
          <w:color w:val="auto"/>
          <w:kern w:val="0"/>
          <w:sz w:val="24"/>
          <w:szCs w:val="24"/>
          <w:highlight w:val="none"/>
        </w:rPr>
        <w:t>.3递交响应文件的授权委托代理人需提供</w:t>
      </w:r>
      <w:r>
        <w:rPr>
          <w:rFonts w:hint="eastAsia" w:ascii="仿宋" w:hAnsi="仿宋" w:eastAsia="仿宋" w:cs="Tahoma"/>
          <w:color w:val="auto"/>
          <w:kern w:val="0"/>
          <w:sz w:val="24"/>
          <w:szCs w:val="24"/>
          <w:highlight w:val="none"/>
          <w:lang w:eastAsia="zh-CN"/>
        </w:rPr>
        <w:t>响应单位</w:t>
      </w:r>
      <w:r>
        <w:rPr>
          <w:rFonts w:hint="eastAsia" w:ascii="仿宋" w:hAnsi="仿宋" w:eastAsia="仿宋" w:cs="Tahoma"/>
          <w:color w:val="auto"/>
          <w:kern w:val="0"/>
          <w:sz w:val="24"/>
          <w:szCs w:val="24"/>
          <w:highlight w:val="none"/>
        </w:rPr>
        <w:t>近三个月（扣除发布</w:t>
      </w:r>
      <w:r>
        <w:rPr>
          <w:rFonts w:hint="eastAsia" w:ascii="仿宋" w:hAnsi="仿宋" w:eastAsia="仿宋" w:cs="Tahoma"/>
          <w:color w:val="auto"/>
          <w:kern w:val="0"/>
          <w:sz w:val="24"/>
          <w:szCs w:val="24"/>
          <w:highlight w:val="none"/>
          <w:lang w:eastAsia="zh-CN"/>
        </w:rPr>
        <w:t>招募</w:t>
      </w:r>
      <w:r>
        <w:rPr>
          <w:rFonts w:hint="eastAsia" w:ascii="仿宋" w:hAnsi="仿宋" w:eastAsia="仿宋" w:cs="Tahoma"/>
          <w:color w:val="auto"/>
          <w:kern w:val="0"/>
          <w:sz w:val="24"/>
          <w:szCs w:val="24"/>
          <w:highlight w:val="none"/>
        </w:rPr>
        <w:t>公告当月往前顺推3个月，即 2024 年10月至2024年12月）为该授权委托代理人缴纳社保资金的有效的社保证明材料。以</w:t>
      </w:r>
      <w:r>
        <w:rPr>
          <w:rFonts w:hint="eastAsia" w:ascii="仿宋" w:hAnsi="仿宋" w:eastAsia="仿宋" w:cs="Tahoma"/>
          <w:color w:val="auto"/>
          <w:kern w:val="0"/>
          <w:sz w:val="24"/>
          <w:szCs w:val="24"/>
          <w:highlight w:val="none"/>
          <w:lang w:eastAsia="zh-CN"/>
        </w:rPr>
        <w:t>响应单位</w:t>
      </w:r>
      <w:r>
        <w:rPr>
          <w:rFonts w:hint="eastAsia" w:ascii="仿宋" w:hAnsi="仿宋" w:eastAsia="仿宋" w:cs="Tahoma"/>
          <w:color w:val="auto"/>
          <w:kern w:val="0"/>
          <w:sz w:val="24"/>
          <w:szCs w:val="24"/>
          <w:highlight w:val="none"/>
        </w:rPr>
        <w:t>（或其分支机构）所属当地社保管理部门出具的证明材料的原件或复印件为准，并作为授权委托书的附件。</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七、发布媒介</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佛山市顺德区公共资源交易中心平台（https://www.shunde.gov.cn/ggzy/sylm/）</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广东顺铁控股有限公司网站（http://www.fsxckf.com/）</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佛山市新城物业发展有限公司微信公众号“佛山新城物业”</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bookmarkStart w:id="1" w:name="_Toc21899"/>
      <w:r>
        <w:rPr>
          <w:rFonts w:hint="eastAsia" w:ascii="仿宋" w:hAnsi="仿宋" w:eastAsia="仿宋" w:cs="Tahoma"/>
          <w:b/>
          <w:bCs/>
          <w:color w:val="auto"/>
          <w:kern w:val="0"/>
          <w:sz w:val="24"/>
          <w:szCs w:val="24"/>
          <w:highlight w:val="none"/>
          <w:lang w:val="en-US" w:eastAsia="zh-CN"/>
        </w:rPr>
        <w:t>八、其他</w:t>
      </w:r>
      <w:bookmarkEnd w:id="1"/>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8.1本项目通过佛山市顺德区公共资源交易中心平台、广东顺铁控股有限公司网站、佛山市新城物业发展有限公司微信公众号下载招募文件、发布澄清说明及补正等功能。各响应单位应随时关注项目信息，及时下载相关文件，否则所造成的一切后果由响应单位自负。</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8.2逾期递交的响应文件，招募方将予以拒收。</w:t>
      </w:r>
      <w:bookmarkStart w:id="2" w:name="_Toc32196"/>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九：附件一：</w:t>
      </w:r>
      <w:r>
        <w:rPr>
          <w:rFonts w:hint="eastAsia" w:ascii="仿宋" w:hAnsi="仿宋" w:eastAsia="仿宋" w:cs="仿宋"/>
          <w:color w:val="auto"/>
          <w:sz w:val="24"/>
          <w:szCs w:val="24"/>
          <w:highlight w:val="none"/>
        </w:rPr>
        <w:t>中欧餐厅月度考核方案</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十、联系方式</w:t>
      </w:r>
      <w:bookmarkEnd w:id="2"/>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招募方：佛山市新城物业发展有限公司 （单位公章）</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 xml:space="preserve">联系地址： </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 xml:space="preserve">邮    编：528315 </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 xml:space="preserve">联 系 人：何工 </w:t>
      </w:r>
    </w:p>
    <w:p>
      <w:pPr>
        <w:widowControl/>
        <w:numPr>
          <w:ilvl w:val="255"/>
          <w:numId w:val="0"/>
        </w:numPr>
        <w:spacing w:line="500" w:lineRule="exact"/>
        <w:ind w:firstLine="548"/>
        <w:jc w:val="left"/>
        <w:rPr>
          <w:rFonts w:hint="default"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电    话： 0757-28786511</w:t>
      </w:r>
    </w:p>
    <w:p>
      <w:pPr>
        <w:pStyle w:val="25"/>
        <w:rPr>
          <w:rFonts w:hint="eastAsia" w:ascii="仿宋" w:hAnsi="仿宋" w:eastAsia="仿宋" w:cs="仿宋"/>
          <w:bCs/>
          <w:color w:val="auto"/>
          <w:sz w:val="24"/>
          <w:szCs w:val="24"/>
          <w:highlight w:val="none"/>
          <w:lang w:val="en-US" w:eastAsia="zh-CN"/>
        </w:rPr>
      </w:pPr>
    </w:p>
    <w:p>
      <w:pPr>
        <w:pStyle w:val="16"/>
        <w:rPr>
          <w:rFonts w:hint="eastAsia" w:ascii="仿宋" w:hAnsi="仿宋" w:eastAsia="仿宋" w:cs="仿宋"/>
          <w:color w:val="auto"/>
          <w:sz w:val="24"/>
          <w:szCs w:val="24"/>
          <w:highlight w:val="none"/>
        </w:rPr>
      </w:pPr>
    </w:p>
    <w:p>
      <w:pPr>
        <w:pStyle w:val="16"/>
        <w:rPr>
          <w:rFonts w:hint="eastAsia" w:ascii="仿宋" w:hAnsi="仿宋" w:eastAsia="仿宋" w:cs="仿宋"/>
          <w:color w:val="auto"/>
          <w:sz w:val="24"/>
          <w:szCs w:val="24"/>
          <w:highlight w:val="none"/>
        </w:rPr>
      </w:pPr>
    </w:p>
    <w:p>
      <w:pPr>
        <w:pStyle w:val="2"/>
        <w:ind w:firstLine="0" w:firstLineChars="0"/>
        <w:jc w:val="right"/>
        <w:rPr>
          <w:rFonts w:hint="eastAsia" w:ascii="仿宋" w:hAnsi="仿宋" w:eastAsia="仿宋" w:cs="仿宋"/>
          <w:color w:val="auto"/>
          <w:sz w:val="24"/>
          <w:szCs w:val="24"/>
          <w:highlight w:val="none"/>
        </w:rPr>
      </w:pPr>
      <w:r>
        <w:rPr>
          <w:rFonts w:hint="eastAsia" w:ascii="仿宋" w:hAnsi="仿宋" w:eastAsia="仿宋" w:cs="Tahoma"/>
          <w:color w:val="auto"/>
          <w:kern w:val="0"/>
          <w:sz w:val="24"/>
          <w:szCs w:val="24"/>
          <w:highlight w:val="none"/>
          <w:lang w:val="en-US" w:eastAsia="zh-CN"/>
        </w:rPr>
        <w:t>招募方</w:t>
      </w:r>
      <w:r>
        <w:rPr>
          <w:rFonts w:hint="eastAsia" w:ascii="仿宋" w:hAnsi="仿宋" w:eastAsia="仿宋" w:cs="仿宋"/>
          <w:color w:val="auto"/>
          <w:sz w:val="24"/>
          <w:szCs w:val="24"/>
          <w:highlight w:val="none"/>
        </w:rPr>
        <w:t>：佛山市新城物业发展有限公司（盖章）</w:t>
      </w:r>
    </w:p>
    <w:p>
      <w:pPr>
        <w:rPr>
          <w:rFonts w:hint="eastAsia" w:ascii="仿宋" w:hAnsi="仿宋" w:eastAsia="仿宋" w:cs="仿宋"/>
          <w:color w:val="auto"/>
          <w:sz w:val="24"/>
          <w:szCs w:val="24"/>
          <w:highlight w:val="none"/>
        </w:rPr>
      </w:pPr>
    </w:p>
    <w:p>
      <w:pPr>
        <w:pStyle w:val="2"/>
        <w:wordWrap w:val="0"/>
        <w:ind w:firstLine="0" w:firstLineChars="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2025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1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cs="仿宋"/>
          <w:color w:val="auto"/>
          <w:sz w:val="24"/>
          <w:szCs w:val="24"/>
          <w:highlight w:val="none"/>
          <w:u w:val="single"/>
          <w:lang w:val="en-US" w:eastAsia="zh-CN"/>
        </w:rPr>
        <w:t>14</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pPr>
        <w:pStyle w:val="2"/>
        <w:wordWrap/>
        <w:spacing w:before="0" w:after="0" w:line="560" w:lineRule="exact"/>
        <w:ind w:firstLine="0" w:firstLineChars="0"/>
        <w:jc w:val="both"/>
        <w:rPr>
          <w:rFonts w:hint="eastAsia" w:ascii="仿宋" w:hAnsi="仿宋" w:eastAsia="仿宋" w:cs="仿宋"/>
          <w:b/>
          <w:bCs/>
          <w:color w:val="auto"/>
          <w:sz w:val="24"/>
          <w:szCs w:val="24"/>
          <w:highlight w:val="none"/>
          <w:lang w:val="en-US" w:eastAsia="zh-CN"/>
        </w:rPr>
      </w:pPr>
    </w:p>
    <w:p>
      <w:pPr>
        <w:rPr>
          <w:rFonts w:hint="eastAsia" w:ascii="仿宋" w:hAnsi="仿宋" w:eastAsia="仿宋" w:cs="Tahoma"/>
          <w:color w:val="auto"/>
          <w:kern w:val="0"/>
          <w:sz w:val="24"/>
          <w:szCs w:val="24"/>
          <w:highlight w:val="none"/>
        </w:rPr>
      </w:pPr>
    </w:p>
    <w:p>
      <w:pPr>
        <w:pStyle w:val="25"/>
        <w:rPr>
          <w:rFonts w:hint="eastAsia"/>
          <w:color w:val="auto"/>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pPr>
    </w:p>
    <w:p>
      <w:pPr>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rPr>
        <w:br w:type="page"/>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rPr>
        <w:sectPr>
          <w:footerReference r:id="rId4" w:type="default"/>
          <w:pgSz w:w="11906" w:h="16838"/>
          <w:pgMar w:top="1020" w:right="1134" w:bottom="1020" w:left="1134" w:header="567" w:footer="567" w:gutter="0"/>
          <w:pgNumType w:start="1"/>
          <w:cols w:space="0" w:num="1"/>
          <w:docGrid w:type="lines" w:linePitch="312" w:charSpace="0"/>
        </w:sectPr>
      </w:pPr>
    </w:p>
    <w:p>
      <w:pPr>
        <w:widowControl/>
        <w:spacing w:line="500" w:lineRule="exact"/>
        <w:jc w:val="center"/>
        <w:rPr>
          <w:rFonts w:hint="default" w:eastAsia="宋体"/>
          <w:b/>
          <w:bCs/>
          <w:color w:val="auto"/>
          <w:sz w:val="36"/>
          <w:szCs w:val="36"/>
          <w:highlight w:val="none"/>
          <w:lang w:val="en-US" w:eastAsia="zh-CN"/>
        </w:rPr>
      </w:pPr>
      <w:r>
        <w:rPr>
          <w:rFonts w:hint="eastAsia"/>
          <w:b/>
          <w:bCs/>
          <w:color w:val="auto"/>
          <w:sz w:val="36"/>
          <w:szCs w:val="36"/>
          <w:highlight w:val="none"/>
          <w:lang w:eastAsia="zh-CN"/>
        </w:rPr>
        <w:t>第</w:t>
      </w:r>
      <w:r>
        <w:rPr>
          <w:rFonts w:hint="eastAsia"/>
          <w:b/>
          <w:bCs/>
          <w:color w:val="auto"/>
          <w:sz w:val="36"/>
          <w:szCs w:val="36"/>
          <w:highlight w:val="none"/>
          <w:lang w:val="en-US" w:eastAsia="zh-CN"/>
        </w:rPr>
        <w:t>二</w:t>
      </w:r>
      <w:r>
        <w:rPr>
          <w:rFonts w:hint="eastAsia"/>
          <w:b/>
          <w:bCs/>
          <w:color w:val="auto"/>
          <w:sz w:val="36"/>
          <w:szCs w:val="36"/>
          <w:highlight w:val="none"/>
          <w:lang w:eastAsia="zh-CN"/>
        </w:rPr>
        <w:t>章</w:t>
      </w:r>
      <w:r>
        <w:rPr>
          <w:rFonts w:hint="eastAsia"/>
          <w:b/>
          <w:bCs/>
          <w:color w:val="auto"/>
          <w:sz w:val="36"/>
          <w:szCs w:val="36"/>
          <w:highlight w:val="none"/>
          <w:lang w:val="en-US" w:eastAsia="zh-CN"/>
        </w:rPr>
        <w:t xml:space="preserve"> 招募需求</w:t>
      </w:r>
    </w:p>
    <w:p>
      <w:pPr>
        <w:pStyle w:val="25"/>
        <w:ind w:left="0" w:leftChars="0" w:firstLine="0" w:firstLineChars="0"/>
        <w:rPr>
          <w:rFonts w:hint="eastAsia" w:ascii="仿宋" w:hAnsi="仿宋" w:eastAsia="仿宋" w:cs="Tahoma"/>
          <w:color w:val="auto"/>
          <w:kern w:val="0"/>
          <w:sz w:val="24"/>
          <w:szCs w:val="24"/>
          <w:highlight w:val="none"/>
        </w:rPr>
      </w:pP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一、项目概况与范围</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1.项目名称：中欧餐厅合作联营方招募</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2.招募单位：佛山市新城物业发展有限公司</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3.项目类型：合作经营类</w:t>
      </w:r>
    </w:p>
    <w:p>
      <w:pPr>
        <w:widowControl/>
        <w:numPr>
          <w:ilvl w:val="255"/>
          <w:numId w:val="0"/>
        </w:numPr>
        <w:spacing w:line="500" w:lineRule="exact"/>
        <w:ind w:firstLine="548"/>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4.项目地址：佛山市顺德区乐从镇佛山新城岭南大道南2号中欧中心C栋二层及三层（L2-L3）</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二、合作模式</w:t>
      </w:r>
    </w:p>
    <w:p>
      <w:pPr>
        <w:numPr>
          <w:ilvl w:val="0"/>
          <w:numId w:val="0"/>
        </w:numPr>
        <w:spacing w:line="50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2.1</w:t>
      </w:r>
      <w:r>
        <w:rPr>
          <w:rFonts w:hint="eastAsia" w:ascii="仿宋" w:hAnsi="仿宋" w:eastAsia="仿宋" w:cs="仿宋"/>
          <w:color w:val="auto"/>
          <w:sz w:val="24"/>
          <w:szCs w:val="24"/>
          <w:highlight w:val="none"/>
        </w:rPr>
        <w:t>招募方为唯一对外运营主体，与用餐单位签订餐饮服务合同，负责收取所有餐饮费用。</w:t>
      </w:r>
    </w:p>
    <w:p>
      <w:pPr>
        <w:numPr>
          <w:ilvl w:val="0"/>
          <w:numId w:val="0"/>
        </w:numPr>
        <w:spacing w:line="50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招募方作为主营方，对餐厅的经营管理负责，提供运营场所、现有的厨房厨具设备，对合作单位的品质进行监督管理，收取管理服务费用。</w:t>
      </w:r>
    </w:p>
    <w:p>
      <w:pPr>
        <w:numPr>
          <w:ilvl w:val="0"/>
          <w:numId w:val="0"/>
        </w:numPr>
        <w:spacing w:line="50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2.3</w:t>
      </w:r>
      <w:r>
        <w:rPr>
          <w:rFonts w:hint="eastAsia" w:ascii="仿宋" w:hAnsi="仿宋" w:eastAsia="仿宋" w:cs="仿宋"/>
          <w:color w:val="auto"/>
          <w:sz w:val="24"/>
          <w:szCs w:val="24"/>
          <w:highlight w:val="none"/>
        </w:rPr>
        <w:t>合作单位负责餐厅的日常运营，负责食材采购及加工和出品的管控，承担日常运营所需费用，包括但不限于人工费、食材及加工费、场地租金、清洁用品费、能耗费、网络费、清淤费用及后期经营投入所需的其他费用等完成本项目应预见和不可预见的费用、相关税费等，合作单位对本项目自负盈亏。场地租金、能耗费用由场地租赁单位收取，费用以公示为准。</w:t>
      </w:r>
    </w:p>
    <w:p>
      <w:pPr>
        <w:numPr>
          <w:ilvl w:val="0"/>
          <w:numId w:val="0"/>
        </w:numPr>
        <w:spacing w:line="500" w:lineRule="exact"/>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2.4</w:t>
      </w:r>
      <w:r>
        <w:rPr>
          <w:rFonts w:hint="eastAsia" w:ascii="仿宋" w:hAnsi="仿宋" w:eastAsia="仿宋" w:cs="仿宋"/>
          <w:color w:val="auto"/>
          <w:sz w:val="24"/>
          <w:szCs w:val="24"/>
          <w:highlight w:val="none"/>
        </w:rPr>
        <w:t>合作单位负责餐厅升级改造及设备增设并承担费用（详见招募需求第</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条），负责办理餐厅营业执照及食品经营许可证，按规定持有效证照营业。</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 xml:space="preserve">三、餐厅升级改造要求   </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合作单位须根据用餐人数、用餐模式合理设计餐厅各区域自助餐线、餐岛。</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rPr>
        <w:t>合作单位须负责二楼C区厨房内设备增加及改造，涉及到场地结构性、功能性改造，需征得有关监管部门审批同意或符合相关法规方可实施。</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合作单位负责对餐厅二、三楼各操作间及功能间的门、锁进行更换，提高餐厅门禁系统管理。</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3.4</w:t>
      </w:r>
      <w:r>
        <w:rPr>
          <w:rFonts w:hint="eastAsia" w:ascii="仿宋" w:hAnsi="仿宋" w:eastAsia="仿宋" w:cs="仿宋"/>
          <w:color w:val="auto"/>
          <w:sz w:val="24"/>
          <w:szCs w:val="24"/>
          <w:highlight w:val="none"/>
        </w:rPr>
        <w:t>合作单位负责对餐厅天花、灯管线路及餐厅灯箱，包括但不限于就餐区域、厨房、消洗间等功能间的天花进行统一更换及灯光提升，美化、亮化餐厅环境及提高安全因素。</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3.5</w:t>
      </w:r>
      <w:r>
        <w:rPr>
          <w:rFonts w:hint="eastAsia" w:ascii="仿宋" w:hAnsi="仿宋" w:eastAsia="仿宋" w:cs="仿宋"/>
          <w:color w:val="auto"/>
          <w:sz w:val="24"/>
          <w:szCs w:val="24"/>
          <w:highlight w:val="none"/>
        </w:rPr>
        <w:t>合作单位负责对餐厅三楼厨房区域走道的石灰墙面进行重新刷漆、翻新，达到美化餐厅环境效果。</w:t>
      </w:r>
    </w:p>
    <w:p>
      <w:pPr>
        <w:pStyle w:val="16"/>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3.6</w:t>
      </w:r>
      <w:r>
        <w:rPr>
          <w:rFonts w:hint="eastAsia" w:ascii="仿宋" w:hAnsi="仿宋" w:eastAsia="仿宋" w:cs="仿宋"/>
          <w:color w:val="auto"/>
          <w:sz w:val="24"/>
          <w:szCs w:val="24"/>
          <w:highlight w:val="none"/>
        </w:rPr>
        <w:t>合作单位负责对中欧餐厅负一层隔油池的修复，以达到排污设备正常运作的状态。</w:t>
      </w:r>
    </w:p>
    <w:p>
      <w:pPr>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3.7</w:t>
      </w:r>
      <w:r>
        <w:rPr>
          <w:rFonts w:hint="eastAsia" w:ascii="仿宋" w:hAnsi="仿宋" w:eastAsia="仿宋" w:cs="仿宋"/>
          <w:color w:val="auto"/>
          <w:sz w:val="24"/>
          <w:szCs w:val="24"/>
          <w:highlight w:val="none"/>
        </w:rPr>
        <w:t>负责餐厅各自助用餐区域出入口人脸识别闸机、识别系统的增设。</w:t>
      </w:r>
    </w:p>
    <w:p>
      <w:pPr>
        <w:pStyle w:val="15"/>
        <w:spacing w:line="500" w:lineRule="exact"/>
        <w:ind w:firstLine="480" w:firstLineChars="200"/>
        <w:rPr>
          <w:rFonts w:hint="default"/>
          <w:color w:val="auto"/>
          <w:highlight w:val="none"/>
        </w:rPr>
      </w:pPr>
      <w:r>
        <w:rPr>
          <w:rFonts w:hint="eastAsia" w:ascii="仿宋" w:hAnsi="仿宋" w:eastAsia="仿宋" w:cs="仿宋"/>
          <w:color w:val="auto"/>
          <w:szCs w:val="24"/>
          <w:highlight w:val="none"/>
          <w:lang w:val="en-US" w:eastAsia="zh-CN"/>
        </w:rPr>
        <w:t>3.8</w:t>
      </w:r>
      <w:r>
        <w:rPr>
          <w:rFonts w:ascii="仿宋" w:hAnsi="仿宋" w:eastAsia="仿宋" w:cs="仿宋"/>
          <w:color w:val="auto"/>
          <w:szCs w:val="24"/>
          <w:highlight w:val="none"/>
        </w:rPr>
        <w:t>负责建设餐厅“阳光厨房”，以视频直播形式，对厨房工作流程和环境卫生安全进行公示。</w:t>
      </w:r>
    </w:p>
    <w:p>
      <w:pPr>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3.9</w:t>
      </w:r>
      <w:r>
        <w:rPr>
          <w:rFonts w:hint="eastAsia" w:ascii="仿宋" w:hAnsi="仿宋" w:eastAsia="仿宋" w:cs="仿宋"/>
          <w:color w:val="auto"/>
          <w:sz w:val="24"/>
          <w:szCs w:val="24"/>
          <w:highlight w:val="none"/>
        </w:rPr>
        <w:t>负责各就餐区用餐文化、宣传画报等用餐氛围方面的提升。</w:t>
      </w:r>
    </w:p>
    <w:p>
      <w:pPr>
        <w:pStyle w:val="15"/>
        <w:spacing w:line="500" w:lineRule="exact"/>
        <w:ind w:firstLine="480" w:firstLineChars="200"/>
        <w:rPr>
          <w:rFonts w:hint="default"/>
          <w:color w:val="auto"/>
          <w:highlight w:val="none"/>
        </w:rPr>
      </w:pPr>
      <w:r>
        <w:rPr>
          <w:rFonts w:hint="eastAsia" w:ascii="仿宋" w:hAnsi="仿宋" w:eastAsia="仿宋" w:cs="仿宋"/>
          <w:color w:val="auto"/>
          <w:szCs w:val="24"/>
          <w:highlight w:val="none"/>
          <w:lang w:val="en-US" w:eastAsia="zh-CN"/>
        </w:rPr>
        <w:t>3.</w:t>
      </w:r>
      <w:r>
        <w:rPr>
          <w:rFonts w:ascii="仿宋" w:hAnsi="仿宋" w:eastAsia="仿宋" w:cs="仿宋"/>
          <w:color w:val="auto"/>
          <w:szCs w:val="24"/>
          <w:highlight w:val="none"/>
        </w:rPr>
        <w:t>10负责仓库管理及采购管理系统的建立。</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四、整体服务要求</w:t>
      </w:r>
    </w:p>
    <w:p>
      <w:pPr>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4.1</w:t>
      </w:r>
      <w:r>
        <w:rPr>
          <w:rFonts w:hint="eastAsia" w:ascii="仿宋" w:hAnsi="仿宋" w:eastAsia="仿宋" w:cs="仿宋"/>
          <w:color w:val="auto"/>
          <w:sz w:val="24"/>
          <w:szCs w:val="24"/>
          <w:highlight w:val="none"/>
        </w:rPr>
        <w:t>运营管理要求</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4.1.1</w:t>
      </w:r>
      <w:r>
        <w:rPr>
          <w:rFonts w:hint="eastAsia" w:ascii="仿宋" w:hAnsi="仿宋" w:eastAsia="仿宋" w:cs="Tahoma"/>
          <w:color w:val="auto"/>
          <w:kern w:val="0"/>
          <w:sz w:val="24"/>
          <w:szCs w:val="24"/>
          <w:highlight w:val="none"/>
        </w:rPr>
        <w:t>本项目为中欧餐厅合作经营项目，由合作单位负责中欧餐厅餐饮服务相关的所有事务，包括但不限于餐厅食材采购及加工、服务人员招聘、人员管理、工资发放、劳动纠纷、用工风险等一切服务，招募方负责监督。</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4.1.2</w:t>
      </w:r>
      <w:r>
        <w:rPr>
          <w:rFonts w:hint="eastAsia" w:ascii="仿宋" w:hAnsi="仿宋" w:eastAsia="仿宋" w:cs="Tahoma"/>
          <w:color w:val="auto"/>
          <w:kern w:val="0"/>
          <w:sz w:val="24"/>
          <w:szCs w:val="24"/>
          <w:highlight w:val="none"/>
        </w:rPr>
        <w:t>合作单位应建立基本的管理制度，主要包括厨房纪律、厨房出品制度、清洁卫生制度、员工考勤休假制度、饭堂设施设备使用维护制度、技术业务考核制度、厨房会议制度、厨房日常工作检查制度等。</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3合作单位对本项目所委派的服务人员必须按《中华人民共和国劳动法》等相关政策法规办理相关合法用工手续。对所录用的服务人员要严格审查，确保所有服务人员身体健康。</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4</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对重要的管理决策有直接参与权与审批权。</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5合作单位在做好相关工作的同时，有责任向</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提供合理化建议，以提高管理效率和管理质量。</w:t>
      </w:r>
    </w:p>
    <w:p>
      <w:pPr>
        <w:pStyle w:val="2"/>
        <w:widowControl/>
        <w:spacing w:line="500" w:lineRule="exact"/>
        <w:ind w:left="0" w:leftChars="0" w:firstLine="480" w:firstLineChars="200"/>
        <w:jc w:val="left"/>
        <w:rPr>
          <w:rFonts w:hint="eastAsia" w:ascii="仿宋" w:hAnsi="仿宋" w:eastAsia="仿宋" w:cs="Tahoma"/>
          <w:color w:val="auto"/>
          <w:kern w:val="0"/>
          <w:sz w:val="24"/>
          <w:szCs w:val="24"/>
          <w:highlight w:val="none"/>
        </w:rPr>
      </w:pPr>
      <w:r>
        <w:rPr>
          <w:rFonts w:hint="eastAsia"/>
          <w:b w:val="0"/>
          <w:bCs w:val="0"/>
          <w:color w:val="auto"/>
          <w:highlight w:val="none"/>
          <w:lang w:val="en-US" w:eastAsia="zh-CN"/>
        </w:rPr>
        <w:t>4.1.</w:t>
      </w:r>
      <w:r>
        <w:rPr>
          <w:rFonts w:hint="eastAsia"/>
          <w:b w:val="0"/>
          <w:bCs w:val="0"/>
          <w:color w:val="auto"/>
          <w:highlight w:val="none"/>
        </w:rPr>
        <w:t>6</w:t>
      </w:r>
      <w:r>
        <w:rPr>
          <w:rFonts w:hint="eastAsia" w:ascii="仿宋" w:hAnsi="仿宋" w:eastAsia="仿宋" w:cs="Tahoma"/>
          <w:b w:val="0"/>
          <w:bCs w:val="0"/>
          <w:color w:val="auto"/>
          <w:kern w:val="0"/>
          <w:sz w:val="24"/>
          <w:szCs w:val="24"/>
          <w:highlight w:val="none"/>
        </w:rPr>
        <w:t>合作单位须充分满足</w:t>
      </w:r>
      <w:r>
        <w:rPr>
          <w:rFonts w:hint="eastAsia" w:cs="Tahoma"/>
          <w:b w:val="0"/>
          <w:bCs w:val="0"/>
          <w:color w:val="auto"/>
          <w:kern w:val="0"/>
          <w:sz w:val="24"/>
          <w:szCs w:val="24"/>
          <w:highlight w:val="none"/>
          <w:lang w:eastAsia="zh-CN"/>
        </w:rPr>
        <w:t>对外经营（</w:t>
      </w:r>
      <w:r>
        <w:rPr>
          <w:rFonts w:hint="eastAsia" w:cs="Tahoma"/>
          <w:b w:val="0"/>
          <w:bCs w:val="0"/>
          <w:color w:val="auto"/>
          <w:kern w:val="0"/>
          <w:sz w:val="24"/>
          <w:szCs w:val="24"/>
          <w:highlight w:val="none"/>
          <w:lang w:val="en-US" w:eastAsia="zh-CN"/>
        </w:rPr>
        <w:t>C区就餐区）</w:t>
      </w:r>
      <w:r>
        <w:rPr>
          <w:rFonts w:hint="eastAsia" w:cs="Tahoma"/>
          <w:b w:val="0"/>
          <w:bCs w:val="0"/>
          <w:color w:val="auto"/>
          <w:kern w:val="0"/>
          <w:sz w:val="24"/>
          <w:szCs w:val="24"/>
          <w:highlight w:val="none"/>
          <w:lang w:eastAsia="zh-CN"/>
        </w:rPr>
        <w:t>的</w:t>
      </w:r>
      <w:r>
        <w:rPr>
          <w:rFonts w:hint="eastAsia" w:ascii="仿宋" w:hAnsi="仿宋" w:eastAsia="仿宋" w:cs="Tahoma"/>
          <w:b w:val="0"/>
          <w:bCs w:val="0"/>
          <w:color w:val="auto"/>
          <w:kern w:val="0"/>
          <w:sz w:val="24"/>
          <w:szCs w:val="24"/>
          <w:highlight w:val="none"/>
        </w:rPr>
        <w:t>多品种、多业态的不同用餐需求。</w:t>
      </w:r>
      <w:r>
        <w:rPr>
          <w:rFonts w:hint="eastAsia" w:ascii="仿宋" w:hAnsi="仿宋" w:eastAsia="仿宋" w:cs="Tahoma"/>
          <w:b w:val="0"/>
          <w:bCs w:val="0"/>
          <w:color w:val="auto"/>
          <w:highlight w:val="none"/>
        </w:rPr>
        <w:t>当</w:t>
      </w:r>
      <w:r>
        <w:rPr>
          <w:rFonts w:hint="eastAsia" w:cs="Tahoma"/>
          <w:b w:val="0"/>
          <w:bCs w:val="0"/>
          <w:color w:val="auto"/>
          <w:kern w:val="0"/>
          <w:sz w:val="24"/>
          <w:szCs w:val="24"/>
          <w:highlight w:val="none"/>
          <w:lang w:eastAsia="zh-CN"/>
        </w:rPr>
        <w:t>对外经营（</w:t>
      </w:r>
      <w:r>
        <w:rPr>
          <w:rFonts w:hint="eastAsia" w:cs="Tahoma"/>
          <w:b w:val="0"/>
          <w:bCs w:val="0"/>
          <w:color w:val="auto"/>
          <w:kern w:val="0"/>
          <w:sz w:val="24"/>
          <w:szCs w:val="24"/>
          <w:highlight w:val="none"/>
          <w:lang w:val="en-US" w:eastAsia="zh-CN"/>
        </w:rPr>
        <w:t>C区就餐区）</w:t>
      </w:r>
      <w:r>
        <w:rPr>
          <w:rFonts w:hint="eastAsia" w:ascii="仿宋" w:hAnsi="仿宋" w:eastAsia="仿宋" w:cs="Tahoma"/>
          <w:b w:val="0"/>
          <w:bCs w:val="0"/>
          <w:color w:val="auto"/>
          <w:highlight w:val="none"/>
        </w:rPr>
        <w:t>用餐人数达到300人时，餐厅</w:t>
      </w:r>
      <w:r>
        <w:rPr>
          <w:rFonts w:hint="eastAsia" w:ascii="仿宋" w:hAnsi="仿宋" w:eastAsia="仿宋" w:cs="Tahoma"/>
          <w:b w:val="0"/>
          <w:bCs w:val="0"/>
          <w:color w:val="auto"/>
          <w:kern w:val="0"/>
          <w:sz w:val="24"/>
          <w:szCs w:val="24"/>
          <w:highlight w:val="none"/>
        </w:rPr>
        <w:t>须</w:t>
      </w:r>
      <w:r>
        <w:rPr>
          <w:rFonts w:hint="eastAsia" w:ascii="仿宋" w:hAnsi="仿宋" w:eastAsia="仿宋" w:cs="Tahoma"/>
          <w:b w:val="0"/>
          <w:bCs w:val="0"/>
          <w:color w:val="auto"/>
          <w:highlight w:val="none"/>
        </w:rPr>
        <w:t>开启一菜一价窗口</w:t>
      </w:r>
      <w:r>
        <w:rPr>
          <w:rFonts w:hint="eastAsia" w:cs="Tahoma"/>
          <w:b w:val="0"/>
          <w:bCs w:val="0"/>
          <w:color w:val="auto"/>
          <w:highlight w:val="none"/>
          <w:lang w:eastAsia="zh-CN"/>
        </w:rPr>
        <w:t>不少于</w:t>
      </w:r>
      <w:r>
        <w:rPr>
          <w:rFonts w:hint="eastAsia" w:cs="Tahoma"/>
          <w:b w:val="0"/>
          <w:bCs w:val="0"/>
          <w:color w:val="auto"/>
          <w:highlight w:val="none"/>
          <w:lang w:val="en-US" w:eastAsia="zh-CN"/>
        </w:rPr>
        <w:t>3个；</w:t>
      </w:r>
      <w:r>
        <w:rPr>
          <w:rFonts w:hint="eastAsia" w:cs="Tahoma"/>
          <w:b w:val="0"/>
          <w:bCs w:val="0"/>
          <w:color w:val="auto"/>
          <w:kern w:val="0"/>
          <w:sz w:val="24"/>
          <w:szCs w:val="24"/>
          <w:highlight w:val="none"/>
          <w:lang w:eastAsia="zh-CN"/>
        </w:rPr>
        <w:t>对外经营（</w:t>
      </w:r>
      <w:r>
        <w:rPr>
          <w:rFonts w:hint="eastAsia" w:cs="Tahoma"/>
          <w:b w:val="0"/>
          <w:bCs w:val="0"/>
          <w:color w:val="auto"/>
          <w:kern w:val="0"/>
          <w:sz w:val="24"/>
          <w:szCs w:val="24"/>
          <w:highlight w:val="none"/>
          <w:lang w:val="en-US" w:eastAsia="zh-CN"/>
        </w:rPr>
        <w:t>C区就餐区）</w:t>
      </w:r>
      <w:r>
        <w:rPr>
          <w:rFonts w:hint="eastAsia" w:ascii="仿宋" w:hAnsi="仿宋" w:eastAsia="仿宋" w:cs="Tahoma"/>
          <w:b w:val="0"/>
          <w:bCs w:val="0"/>
          <w:color w:val="auto"/>
          <w:highlight w:val="none"/>
        </w:rPr>
        <w:t>达到500人时，</w:t>
      </w:r>
      <w:r>
        <w:rPr>
          <w:rFonts w:hint="eastAsia" w:ascii="仿宋" w:hAnsi="仿宋" w:eastAsia="仿宋" w:cs="Tahoma"/>
          <w:b w:val="0"/>
          <w:bCs w:val="0"/>
          <w:color w:val="auto"/>
          <w:kern w:val="0"/>
          <w:sz w:val="24"/>
          <w:szCs w:val="24"/>
          <w:highlight w:val="none"/>
        </w:rPr>
        <w:t>须</w:t>
      </w:r>
      <w:r>
        <w:rPr>
          <w:rFonts w:hint="eastAsia" w:ascii="仿宋" w:hAnsi="仿宋" w:eastAsia="仿宋" w:cs="Tahoma"/>
          <w:b w:val="0"/>
          <w:bCs w:val="0"/>
          <w:color w:val="auto"/>
          <w:highlight w:val="none"/>
        </w:rPr>
        <w:t>同时开启</w:t>
      </w:r>
      <w:r>
        <w:rPr>
          <w:rFonts w:hint="eastAsia" w:cs="Tahoma"/>
          <w:b w:val="0"/>
          <w:bCs w:val="0"/>
          <w:color w:val="auto"/>
          <w:highlight w:val="none"/>
          <w:lang w:eastAsia="zh-CN"/>
        </w:rPr>
        <w:t>不少于</w:t>
      </w:r>
      <w:r>
        <w:rPr>
          <w:rFonts w:hint="eastAsia" w:ascii="仿宋" w:hAnsi="仿宋" w:eastAsia="仿宋" w:cs="Tahoma"/>
          <w:b w:val="0"/>
          <w:bCs w:val="0"/>
          <w:color w:val="auto"/>
          <w:highlight w:val="none"/>
        </w:rPr>
        <w:t>5-6个供餐窗口；</w:t>
      </w:r>
      <w:r>
        <w:rPr>
          <w:rFonts w:hint="eastAsia" w:cs="Tahoma"/>
          <w:b w:val="0"/>
          <w:bCs w:val="0"/>
          <w:color w:val="auto"/>
          <w:highlight w:val="none"/>
          <w:lang w:eastAsia="zh-CN"/>
        </w:rPr>
        <w:t>当</w:t>
      </w:r>
      <w:r>
        <w:rPr>
          <w:rFonts w:hint="eastAsia" w:cs="Tahoma"/>
          <w:b w:val="0"/>
          <w:bCs w:val="0"/>
          <w:color w:val="auto"/>
          <w:kern w:val="0"/>
          <w:sz w:val="24"/>
          <w:szCs w:val="24"/>
          <w:highlight w:val="none"/>
          <w:lang w:eastAsia="zh-CN"/>
        </w:rPr>
        <w:t>对外经营（</w:t>
      </w:r>
      <w:r>
        <w:rPr>
          <w:rFonts w:hint="eastAsia" w:cs="Tahoma"/>
          <w:b w:val="0"/>
          <w:bCs w:val="0"/>
          <w:color w:val="auto"/>
          <w:kern w:val="0"/>
          <w:sz w:val="24"/>
          <w:szCs w:val="24"/>
          <w:highlight w:val="none"/>
          <w:lang w:val="en-US" w:eastAsia="zh-CN"/>
        </w:rPr>
        <w:t>C区就餐区）</w:t>
      </w:r>
      <w:r>
        <w:rPr>
          <w:rFonts w:hint="eastAsia" w:ascii="仿宋" w:hAnsi="仿宋" w:eastAsia="仿宋" w:cs="Tahoma"/>
          <w:b w:val="0"/>
          <w:bCs w:val="0"/>
          <w:color w:val="auto"/>
          <w:highlight w:val="none"/>
        </w:rPr>
        <w:t>人数超500人时，</w:t>
      </w:r>
      <w:r>
        <w:rPr>
          <w:rFonts w:hint="eastAsia" w:cs="Tahoma"/>
          <w:b w:val="0"/>
          <w:bCs w:val="0"/>
          <w:color w:val="auto"/>
          <w:highlight w:val="none"/>
          <w:lang w:eastAsia="zh-CN"/>
        </w:rPr>
        <w:t>合作单位</w:t>
      </w:r>
      <w:r>
        <w:rPr>
          <w:rFonts w:hint="eastAsia" w:ascii="仿宋" w:hAnsi="仿宋" w:eastAsia="仿宋" w:cs="Tahoma"/>
          <w:b w:val="0"/>
          <w:bCs w:val="0"/>
          <w:color w:val="auto"/>
          <w:kern w:val="0"/>
          <w:sz w:val="24"/>
          <w:szCs w:val="24"/>
          <w:highlight w:val="none"/>
        </w:rPr>
        <w:t>须</w:t>
      </w:r>
      <w:r>
        <w:rPr>
          <w:rFonts w:hint="eastAsia" w:ascii="仿宋" w:hAnsi="仿宋" w:eastAsia="仿宋" w:cs="Tahoma"/>
          <w:b w:val="0"/>
          <w:bCs w:val="0"/>
          <w:color w:val="auto"/>
          <w:highlight w:val="none"/>
        </w:rPr>
        <w:t>引入知名</w:t>
      </w:r>
      <w:r>
        <w:rPr>
          <w:rFonts w:hint="eastAsia" w:cs="Tahoma"/>
          <w:b w:val="0"/>
          <w:bCs w:val="0"/>
          <w:color w:val="auto"/>
          <w:highlight w:val="none"/>
          <w:lang w:eastAsia="zh-CN"/>
        </w:rPr>
        <w:t>餐饮</w:t>
      </w:r>
      <w:r>
        <w:rPr>
          <w:rFonts w:hint="eastAsia" w:ascii="仿宋" w:hAnsi="仿宋" w:eastAsia="仿宋" w:cs="Tahoma"/>
          <w:b w:val="0"/>
          <w:bCs w:val="0"/>
          <w:color w:val="auto"/>
          <w:highlight w:val="none"/>
        </w:rPr>
        <w:t>品牌进驻</w:t>
      </w:r>
      <w:r>
        <w:rPr>
          <w:rFonts w:hint="eastAsia" w:cs="Tahoma"/>
          <w:b w:val="0"/>
          <w:bCs w:val="0"/>
          <w:color w:val="auto"/>
          <w:highlight w:val="none"/>
          <w:lang w:eastAsia="zh-CN"/>
        </w:rPr>
        <w:t>，单个餐饮品牌不可超过</w:t>
      </w:r>
      <w:r>
        <w:rPr>
          <w:rFonts w:hint="eastAsia" w:cs="Tahoma"/>
          <w:b w:val="0"/>
          <w:bCs w:val="0"/>
          <w:color w:val="auto"/>
          <w:highlight w:val="none"/>
          <w:lang w:val="en-US" w:eastAsia="zh-CN"/>
        </w:rPr>
        <w:t>1个供餐窗口</w:t>
      </w:r>
      <w:r>
        <w:rPr>
          <w:rFonts w:hint="eastAsia" w:ascii="仿宋" w:hAnsi="仿宋" w:eastAsia="仿宋" w:cs="Tahoma"/>
          <w:b w:val="0"/>
          <w:bCs w:val="0"/>
          <w:color w:val="auto"/>
          <w:highlight w:val="none"/>
        </w:rPr>
        <w:t>。</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ascii="仿宋" w:hAnsi="仿宋" w:eastAsia="仿宋" w:cs="Tahoma"/>
          <w:color w:val="auto"/>
          <w:kern w:val="0"/>
          <w:sz w:val="24"/>
          <w:szCs w:val="24"/>
          <w:highlight w:val="none"/>
        </w:rPr>
        <w:t>7</w:t>
      </w:r>
      <w:r>
        <w:rPr>
          <w:rFonts w:hint="eastAsia" w:ascii="仿宋" w:hAnsi="仿宋" w:eastAsia="仿宋" w:cs="Tahoma"/>
          <w:color w:val="auto"/>
          <w:kern w:val="0"/>
          <w:sz w:val="24"/>
          <w:szCs w:val="24"/>
          <w:highlight w:val="none"/>
        </w:rPr>
        <w:t>合作单位在合同期内，必须严格遵守《</w:t>
      </w:r>
      <w:ins w:id="2" w:author="WPS_1469634715" w:date="2025-01-17T17:51:34Z">
        <w:r>
          <w:rPr>
            <w:rFonts w:hint="eastAsia" w:ascii="仿宋" w:hAnsi="仿宋" w:eastAsia="仿宋" w:cs="Tahoma"/>
            <w:color w:val="auto"/>
            <w:kern w:val="0"/>
            <w:sz w:val="24"/>
            <w:szCs w:val="24"/>
            <w:highlight w:val="none"/>
            <w:lang w:eastAsia="zh-CN"/>
          </w:rPr>
          <w:t>中华人民共和国劳动法</w:t>
        </w:r>
      </w:ins>
      <w:r>
        <w:rPr>
          <w:rFonts w:hint="eastAsia" w:ascii="仿宋" w:hAnsi="仿宋" w:eastAsia="仿宋" w:cs="Tahoma"/>
          <w:color w:val="auto"/>
          <w:kern w:val="0"/>
          <w:sz w:val="24"/>
          <w:szCs w:val="24"/>
          <w:highlight w:val="none"/>
        </w:rPr>
        <w:t>》和《食品安全法》等各项法律法规的规定。因合作单位违法及违规操作给</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带来的损失，由合作单位承担全部责任。如产生严重后果，</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有权单方终止合同。</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4.1.8</w:t>
      </w:r>
      <w:r>
        <w:rPr>
          <w:rFonts w:hint="eastAsia" w:ascii="仿宋" w:hAnsi="仿宋" w:eastAsia="仿宋" w:cs="Tahoma"/>
          <w:color w:val="auto"/>
          <w:kern w:val="0"/>
          <w:sz w:val="24"/>
          <w:szCs w:val="24"/>
          <w:highlight w:val="none"/>
        </w:rPr>
        <w:t>合作单位必须接受上级有关管理部门（安全环保、消防、食品安全、综合治理、卫生监督等）和</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的监督和检查。</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ascii="仿宋" w:hAnsi="仿宋" w:eastAsia="仿宋" w:cs="Tahoma"/>
          <w:color w:val="auto"/>
          <w:kern w:val="0"/>
          <w:sz w:val="24"/>
          <w:szCs w:val="24"/>
          <w:highlight w:val="none"/>
        </w:rPr>
        <w:t>9</w:t>
      </w:r>
      <w:r>
        <w:rPr>
          <w:rFonts w:hint="eastAsia" w:ascii="仿宋" w:hAnsi="仿宋" w:eastAsia="仿宋" w:cs="Tahoma"/>
          <w:color w:val="auto"/>
          <w:kern w:val="0"/>
          <w:sz w:val="24"/>
          <w:szCs w:val="24"/>
          <w:highlight w:val="none"/>
        </w:rPr>
        <w:t>合作单位须接受</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对餐厅的卫生状况、安全、消防、配菜、营养搭配、节能降耗及服务水平的监督检查，并对</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提出的问题进行及时整改，一年内累积出现3个月度或连续2个月</w:t>
      </w:r>
      <w:r>
        <w:rPr>
          <w:rFonts w:hint="eastAsia" w:ascii="仿宋" w:hAnsi="仿宋" w:eastAsia="仿宋" w:cs="Tahoma"/>
          <w:color w:val="auto"/>
          <w:kern w:val="0"/>
          <w:sz w:val="24"/>
          <w:szCs w:val="24"/>
          <w:highlight w:val="none"/>
          <w:lang w:eastAsia="zh-CN"/>
        </w:rPr>
        <w:t>度</w:t>
      </w:r>
      <w:r>
        <w:rPr>
          <w:rFonts w:hint="eastAsia" w:ascii="仿宋" w:hAnsi="仿宋" w:eastAsia="仿宋" w:cs="Tahoma"/>
          <w:color w:val="auto"/>
          <w:kern w:val="0"/>
          <w:sz w:val="24"/>
          <w:szCs w:val="24"/>
          <w:highlight w:val="none"/>
        </w:rPr>
        <w:t>考核评分低于90分，</w:t>
      </w:r>
      <w:r>
        <w:rPr>
          <w:rFonts w:hint="eastAsia" w:ascii="仿宋" w:hAnsi="仿宋" w:eastAsia="仿宋" w:cs="仿宋"/>
          <w:color w:val="auto"/>
          <w:sz w:val="24"/>
          <w:szCs w:val="24"/>
          <w:highlight w:val="none"/>
        </w:rPr>
        <w:t>招募方</w:t>
      </w:r>
      <w:r>
        <w:rPr>
          <w:rFonts w:hint="eastAsia" w:ascii="仿宋" w:hAnsi="仿宋" w:eastAsia="仿宋" w:cs="Tahoma"/>
          <w:color w:val="auto"/>
          <w:kern w:val="0"/>
          <w:sz w:val="24"/>
          <w:szCs w:val="24"/>
          <w:highlight w:val="none"/>
        </w:rPr>
        <w:t>有权单方终止合同，考核标准详见附表一《中欧餐厅月度考核方案》。</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ascii="仿宋" w:hAnsi="仿宋" w:eastAsia="仿宋" w:cs="Tahoma"/>
          <w:color w:val="auto"/>
          <w:kern w:val="0"/>
          <w:sz w:val="24"/>
          <w:szCs w:val="24"/>
          <w:highlight w:val="none"/>
        </w:rPr>
        <w:t>10</w:t>
      </w:r>
      <w:r>
        <w:rPr>
          <w:rFonts w:hint="eastAsia" w:ascii="仿宋" w:hAnsi="仿宋" w:eastAsia="仿宋" w:cs="Tahoma"/>
          <w:color w:val="auto"/>
          <w:kern w:val="0"/>
          <w:sz w:val="24"/>
          <w:szCs w:val="24"/>
          <w:highlight w:val="none"/>
        </w:rPr>
        <w:t>合作单位要做好餐厅与从业人员的卫生管理工作，承包期间的卫生检疫、办理健康证、体检等费用均由合作单位负责。</w:t>
      </w:r>
    </w:p>
    <w:p>
      <w:pPr>
        <w:widowControl/>
        <w:spacing w:line="500" w:lineRule="exact"/>
        <w:ind w:firstLine="480" w:firstLineChars="200"/>
        <w:jc w:val="left"/>
        <w:rPr>
          <w:rFonts w:hint="eastAsia" w:ascii="仿宋" w:hAnsi="仿宋" w:eastAsia="仿宋" w:cs="Tahoma"/>
          <w:color w:val="auto"/>
          <w:kern w:val="0"/>
          <w:sz w:val="24"/>
          <w:szCs w:val="24"/>
          <w:highlight w:val="none"/>
          <w:lang w:eastAsia="zh-CN"/>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1</w:t>
      </w:r>
      <w:r>
        <w:rPr>
          <w:rFonts w:ascii="仿宋" w:hAnsi="仿宋" w:eastAsia="仿宋" w:cs="Tahoma"/>
          <w:color w:val="auto"/>
          <w:kern w:val="0"/>
          <w:sz w:val="24"/>
          <w:szCs w:val="24"/>
          <w:highlight w:val="none"/>
        </w:rPr>
        <w:t>1</w:t>
      </w:r>
      <w:r>
        <w:rPr>
          <w:rFonts w:hint="eastAsia" w:ascii="仿宋" w:hAnsi="仿宋" w:eastAsia="仿宋" w:cs="Tahoma"/>
          <w:color w:val="auto"/>
          <w:kern w:val="0"/>
          <w:sz w:val="24"/>
          <w:szCs w:val="24"/>
          <w:highlight w:val="none"/>
        </w:rPr>
        <w:t>合作单位项目团队工作人员必须全心全意为就餐人员服务，不断钻研烹调技术，提高业务水平。根据就餐人员不同口味，市场行情的变化，尽可能配制出色、香、味俱全且营养丰富的饭菜。</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1</w:t>
      </w:r>
      <w:r>
        <w:rPr>
          <w:rFonts w:ascii="仿宋" w:hAnsi="仿宋" w:eastAsia="仿宋" w:cs="Tahoma"/>
          <w:color w:val="auto"/>
          <w:kern w:val="0"/>
          <w:sz w:val="24"/>
          <w:szCs w:val="24"/>
          <w:highlight w:val="none"/>
        </w:rPr>
        <w:t>2</w:t>
      </w:r>
      <w:r>
        <w:rPr>
          <w:rFonts w:hint="eastAsia" w:ascii="仿宋" w:hAnsi="仿宋" w:eastAsia="仿宋" w:cs="Tahoma"/>
          <w:color w:val="auto"/>
          <w:kern w:val="0"/>
          <w:sz w:val="24"/>
          <w:szCs w:val="24"/>
          <w:highlight w:val="none"/>
        </w:rPr>
        <w:t>餐厨垃圾、废料等必须在当日营业结束时清除干净。必须搬运到指定的集中存放处统一收运处理。</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4.1.</w:t>
      </w:r>
      <w:r>
        <w:rPr>
          <w:rFonts w:hint="eastAsia" w:ascii="仿宋" w:hAnsi="仿宋" w:eastAsia="仿宋" w:cs="Tahoma"/>
          <w:color w:val="auto"/>
          <w:kern w:val="0"/>
          <w:sz w:val="24"/>
          <w:szCs w:val="24"/>
          <w:highlight w:val="none"/>
        </w:rPr>
        <w:t>1</w:t>
      </w:r>
      <w:r>
        <w:rPr>
          <w:rFonts w:ascii="仿宋" w:hAnsi="仿宋" w:eastAsia="仿宋" w:cs="Tahoma"/>
          <w:color w:val="auto"/>
          <w:kern w:val="0"/>
          <w:sz w:val="24"/>
          <w:szCs w:val="24"/>
          <w:highlight w:val="none"/>
        </w:rPr>
        <w:t>3</w:t>
      </w:r>
      <w:r>
        <w:rPr>
          <w:rFonts w:hint="eastAsia" w:ascii="仿宋" w:hAnsi="仿宋" w:eastAsia="仿宋" w:cs="Tahoma"/>
          <w:color w:val="auto"/>
          <w:kern w:val="0"/>
          <w:sz w:val="24"/>
          <w:szCs w:val="24"/>
          <w:highlight w:val="none"/>
        </w:rPr>
        <w:t>保持工作环境干净整洁，日常做好减蚊及防虫防鼠工作，沟渠必须保持畅通。就餐区域的餐台、椅必须保持无积污、无油渍、无水渍。 厨房的地板必须保持无垃圾、无油渍、无水渍。洗手间各设备完好、保持洁具整洁、无味、无污、无臭。</w:t>
      </w:r>
    </w:p>
    <w:p>
      <w:pPr>
        <w:widowControl/>
        <w:spacing w:line="500" w:lineRule="exact"/>
        <w:ind w:firstLine="480" w:firstLineChars="200"/>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4.2</w:t>
      </w:r>
      <w:r>
        <w:rPr>
          <w:rFonts w:hint="eastAsia" w:ascii="仿宋" w:hAnsi="仿宋" w:eastAsia="仿宋" w:cs="Tahoma"/>
          <w:color w:val="auto"/>
          <w:kern w:val="0"/>
          <w:sz w:val="24"/>
          <w:szCs w:val="24"/>
          <w:highlight w:val="none"/>
        </w:rPr>
        <w:t>服务时间要求</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4.2.1</w:t>
      </w:r>
      <w:r>
        <w:rPr>
          <w:rFonts w:hint="eastAsia" w:ascii="仿宋" w:hAnsi="仿宋" w:eastAsia="仿宋" w:cs="Tahoma"/>
          <w:color w:val="auto"/>
          <w:kern w:val="0"/>
          <w:sz w:val="24"/>
          <w:szCs w:val="24"/>
          <w:highlight w:val="none"/>
        </w:rPr>
        <w:t>餐厅营业时间为：全年（含星期六日及节假日）。</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4.2.2</w:t>
      </w:r>
      <w:r>
        <w:rPr>
          <w:rFonts w:hint="eastAsia" w:ascii="仿宋" w:hAnsi="仿宋" w:eastAsia="仿宋" w:cs="Tahoma"/>
          <w:color w:val="auto"/>
          <w:kern w:val="0"/>
          <w:sz w:val="24"/>
          <w:szCs w:val="24"/>
          <w:highlight w:val="none"/>
        </w:rPr>
        <w:t>早餐7：30-9：00；中餐11：30-13：00；晚餐 17:30-19:00（特殊开餐时间视具体情况</w:t>
      </w:r>
      <w:r>
        <w:rPr>
          <w:rFonts w:hint="eastAsia" w:ascii="仿宋" w:hAnsi="仿宋" w:eastAsia="仿宋" w:cs="Tahoma"/>
          <w:color w:val="auto"/>
          <w:kern w:val="0"/>
          <w:sz w:val="24"/>
          <w:szCs w:val="24"/>
          <w:highlight w:val="none"/>
          <w:lang w:eastAsia="zh-CN"/>
        </w:rPr>
        <w:t>调整，需经招募方确定后方可实施</w:t>
      </w:r>
      <w:r>
        <w:rPr>
          <w:rFonts w:hint="eastAsia" w:ascii="仿宋" w:hAnsi="仿宋" w:eastAsia="仿宋" w:cs="Tahoma"/>
          <w:color w:val="auto"/>
          <w:kern w:val="0"/>
          <w:sz w:val="24"/>
          <w:szCs w:val="24"/>
          <w:highlight w:val="none"/>
        </w:rPr>
        <w:t>）。</w:t>
      </w:r>
    </w:p>
    <w:p>
      <w:pPr>
        <w:widowControl/>
        <w:spacing w:line="500" w:lineRule="exact"/>
        <w:ind w:firstLine="480" w:firstLineChars="200"/>
        <w:jc w:val="left"/>
        <w:rPr>
          <w:rFonts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4.2.3</w:t>
      </w:r>
      <w:r>
        <w:rPr>
          <w:rFonts w:hint="eastAsia" w:ascii="仿宋" w:hAnsi="仿宋" w:eastAsia="仿宋" w:cs="Tahoma"/>
          <w:color w:val="auto"/>
          <w:kern w:val="0"/>
          <w:sz w:val="24"/>
          <w:szCs w:val="24"/>
          <w:highlight w:val="none"/>
        </w:rPr>
        <w:t>招募方有权根据需求，调整开餐时间和合作单位服务人员的工作时间，合作单位应当按照招募方要求予以全力保障。</w:t>
      </w:r>
    </w:p>
    <w:p>
      <w:pPr>
        <w:widowControl/>
        <w:spacing w:line="500" w:lineRule="exact"/>
        <w:ind w:firstLine="480" w:firstLineChars="200"/>
        <w:jc w:val="left"/>
        <w:rPr>
          <w:rFonts w:hint="eastAsia" w:ascii="仿宋" w:hAnsi="仿宋" w:eastAsia="仿宋" w:cs="Tahoma"/>
          <w:color w:val="auto"/>
          <w:kern w:val="0"/>
          <w:sz w:val="24"/>
          <w:szCs w:val="24"/>
          <w:highlight w:val="none"/>
        </w:rPr>
      </w:pPr>
      <w:r>
        <w:rPr>
          <w:rFonts w:hint="eastAsia" w:ascii="仿宋" w:hAnsi="仿宋" w:eastAsia="仿宋" w:cs="Tahoma"/>
          <w:color w:val="auto"/>
          <w:kern w:val="0"/>
          <w:sz w:val="24"/>
          <w:szCs w:val="24"/>
          <w:highlight w:val="none"/>
          <w:lang w:val="en-US" w:eastAsia="zh-CN"/>
        </w:rPr>
        <w:t>4.2.4</w:t>
      </w:r>
      <w:r>
        <w:rPr>
          <w:rFonts w:hint="eastAsia" w:ascii="仿宋" w:hAnsi="仿宋" w:eastAsia="仿宋" w:cs="Tahoma"/>
          <w:color w:val="auto"/>
          <w:kern w:val="0"/>
          <w:sz w:val="24"/>
          <w:szCs w:val="24"/>
          <w:highlight w:val="none"/>
        </w:rPr>
        <w:t>如招募方有其他临时性的膳食保障服务工作需要，合作单位需无条件按照招募方要求提供服务，全力保障解决。</w:t>
      </w:r>
    </w:p>
    <w:p>
      <w:pPr>
        <w:widowControl/>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4.2.5</w:t>
      </w:r>
      <w:r>
        <w:rPr>
          <w:rFonts w:hint="eastAsia" w:ascii="仿宋" w:hAnsi="仿宋" w:eastAsia="仿宋" w:cs="Tahoma"/>
          <w:color w:val="auto"/>
          <w:kern w:val="0"/>
          <w:sz w:val="24"/>
          <w:szCs w:val="24"/>
          <w:highlight w:val="none"/>
        </w:rPr>
        <w:t>招募方对餐厅菜品定价有审核建议权，合作单位未经招募方同意、确认不得</w:t>
      </w:r>
      <w:r>
        <w:rPr>
          <w:rFonts w:hint="eastAsia" w:ascii="仿宋" w:hAnsi="仿宋" w:eastAsia="仿宋" w:cs="Tahoma"/>
          <w:color w:val="auto"/>
          <w:kern w:val="0"/>
          <w:sz w:val="24"/>
          <w:szCs w:val="24"/>
          <w:highlight w:val="none"/>
          <w:lang w:eastAsia="zh-CN"/>
        </w:rPr>
        <w:t>擅自</w:t>
      </w:r>
      <w:r>
        <w:rPr>
          <w:rFonts w:hint="eastAsia" w:ascii="仿宋" w:hAnsi="仿宋" w:eastAsia="仿宋" w:cs="Tahoma"/>
          <w:color w:val="auto"/>
          <w:kern w:val="0"/>
          <w:sz w:val="24"/>
          <w:szCs w:val="24"/>
          <w:highlight w:val="none"/>
        </w:rPr>
        <w:t>公布菜品价格</w:t>
      </w:r>
      <w:r>
        <w:rPr>
          <w:rFonts w:hint="eastAsia" w:ascii="仿宋" w:hAnsi="仿宋" w:eastAsia="仿宋" w:cs="Tahoma"/>
          <w:color w:val="auto"/>
          <w:kern w:val="0"/>
          <w:sz w:val="24"/>
          <w:szCs w:val="24"/>
          <w:highlight w:val="none"/>
          <w:lang w:eastAsia="zh-CN"/>
        </w:rPr>
        <w:t>。</w:t>
      </w:r>
    </w:p>
    <w:p>
      <w:pPr>
        <w:widowControl/>
        <w:spacing w:line="500" w:lineRule="exact"/>
        <w:ind w:firstLine="480" w:firstLineChars="200"/>
        <w:jc w:val="left"/>
        <w:rPr>
          <w:rFonts w:hint="eastAsia" w:ascii="仿宋" w:hAnsi="仿宋" w:eastAsia="仿宋" w:cs="Tahoma"/>
          <w:color w:val="auto"/>
          <w:kern w:val="0"/>
          <w:sz w:val="24"/>
          <w:szCs w:val="24"/>
          <w:highlight w:val="none"/>
          <w:lang w:val="en-US" w:eastAsia="zh-CN"/>
        </w:rPr>
      </w:pPr>
      <w:r>
        <w:rPr>
          <w:rFonts w:hint="eastAsia" w:ascii="仿宋" w:hAnsi="仿宋" w:eastAsia="仿宋" w:cs="Tahoma"/>
          <w:color w:val="auto"/>
          <w:kern w:val="0"/>
          <w:sz w:val="24"/>
          <w:szCs w:val="24"/>
          <w:highlight w:val="none"/>
          <w:lang w:val="en-US" w:eastAsia="zh-CN"/>
        </w:rPr>
        <w:t>4.3服务成果要求</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4.3.1</w:t>
      </w:r>
      <w:r>
        <w:rPr>
          <w:rFonts w:hint="eastAsia" w:ascii="仿宋" w:hAnsi="仿宋" w:eastAsia="仿宋" w:cs="仿宋"/>
          <w:color w:val="auto"/>
          <w:sz w:val="24"/>
          <w:szCs w:val="24"/>
          <w:highlight w:val="none"/>
        </w:rPr>
        <w:t>饮食菜谱：合作单位应制定科学的饮食菜谱，保障饭堂供餐的质量和选择需求；合作单位应当每周更新食谱报招募方确认同意后予以实施；合作单位应定期对餐厅就餐人员的口味进行调查，调整菜式口味以满足就餐人员的需求和变化，保障就餐人员用餐满意度。</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4.3.2</w:t>
      </w:r>
      <w:r>
        <w:rPr>
          <w:rFonts w:hint="eastAsia" w:ascii="仿宋" w:hAnsi="仿宋" w:eastAsia="仿宋" w:cs="仿宋"/>
          <w:color w:val="auto"/>
          <w:sz w:val="24"/>
          <w:szCs w:val="24"/>
          <w:highlight w:val="none"/>
        </w:rPr>
        <w:t>菜式品种：保障菜式多样化，根据招募方实际需求进行调整配置。</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4.3.3</w:t>
      </w:r>
      <w:r>
        <w:rPr>
          <w:rFonts w:hint="eastAsia" w:ascii="仿宋" w:hAnsi="仿宋" w:eastAsia="仿宋" w:cs="仿宋"/>
          <w:color w:val="auto"/>
          <w:sz w:val="24"/>
          <w:szCs w:val="24"/>
          <w:highlight w:val="none"/>
        </w:rPr>
        <w:t>菜肴质量：合作单位须全程控制菜肴制作过程的安全卫生，确保无食物中毒或因食物引起的其他不良反应；菜肴新鲜，色泽良好，无过期及腐烂变质的食物；控制油及其他调味品用量，菜肴品种齐全，营养搭配合理；菜肴口味好，咸淡适中，并保证饭菜热度；菜肴及时更新，一周内不出现2次以上完全相同品种菜肴，根据季节及工作需要调整就餐菜式，根据就餐情况，合理提供菜肴，杜绝浪费。</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4.3.4</w:t>
      </w:r>
      <w:r>
        <w:rPr>
          <w:rFonts w:hint="eastAsia" w:ascii="仿宋" w:hAnsi="仿宋" w:eastAsia="仿宋" w:cs="仿宋"/>
          <w:color w:val="auto"/>
          <w:sz w:val="24"/>
          <w:szCs w:val="24"/>
          <w:highlight w:val="none"/>
        </w:rPr>
        <w:t>合作单位必须严把食品卫生安全关，认真遵守《中华人民共和国食品安全法》的各项要求，实行“规范操作，安全监督”机制。承包期间不得采购过期、腐烂、变质等食材。</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4.3.5</w:t>
      </w:r>
      <w:r>
        <w:rPr>
          <w:rFonts w:hint="eastAsia" w:ascii="仿宋" w:hAnsi="仿宋" w:eastAsia="仿宋" w:cs="仿宋"/>
          <w:color w:val="auto"/>
          <w:sz w:val="24"/>
          <w:szCs w:val="24"/>
          <w:highlight w:val="none"/>
        </w:rPr>
        <w:t>厨房、仓库、配餐间、操作间、餐厅桌椅、地面等清洁卫生由合作单位负责。合作单位要合理使用厨房设备设施，餐具必须彻底清洁消毒。搞好室内外环境清洁和消毒工作，清除卫生死角，保持墙壁、墙裙、天花板、地面整洁，疏通下水道，垃圾桶须加盖并保持桶身的清洁，加强灭蝇、灭蟑螂、灭鼠等措施。</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4.3.6</w:t>
      </w:r>
      <w:r>
        <w:rPr>
          <w:rFonts w:hint="eastAsia" w:ascii="仿宋" w:hAnsi="仿宋" w:eastAsia="仿宋" w:cs="仿宋"/>
          <w:color w:val="auto"/>
          <w:sz w:val="24"/>
          <w:szCs w:val="24"/>
          <w:highlight w:val="none"/>
        </w:rPr>
        <w:t>合作单位负责餐厅的所有服务人员的招聘、任免、薪资、住宿、福利、体检以及工伤保险、医疗保险、人身意外保险等，同时配合做好上级卫生部门组织的各项业务学习培训。费用由合作单位负责。</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4.3.7</w:t>
      </w:r>
      <w:r>
        <w:rPr>
          <w:rFonts w:hint="eastAsia" w:ascii="仿宋" w:hAnsi="仿宋" w:eastAsia="仿宋" w:cs="仿宋"/>
          <w:color w:val="auto"/>
          <w:sz w:val="24"/>
          <w:szCs w:val="24"/>
          <w:highlight w:val="none"/>
        </w:rPr>
        <w:t>合作单位员工要有良好的服务态度，讲究职业道德及各项文明礼仪（包括着装整齐、干净），并自觉接受就餐人员的监督。合作单位为员工配备统一的工作服，费用由合作单位承担。</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4.3.8</w:t>
      </w:r>
      <w:r>
        <w:rPr>
          <w:rFonts w:hint="eastAsia" w:ascii="仿宋" w:hAnsi="仿宋" w:eastAsia="仿宋" w:cs="仿宋"/>
          <w:color w:val="auto"/>
          <w:sz w:val="24"/>
          <w:szCs w:val="24"/>
          <w:highlight w:val="none"/>
        </w:rPr>
        <w:t>合作单位员工如有感冒、皮肤划伤等，不得带病上班；在工作期间患有传染病者，应立即调离工作岗位，康复后体检合格方可上岗。</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4.3.9</w:t>
      </w:r>
      <w:r>
        <w:rPr>
          <w:rFonts w:hint="eastAsia" w:ascii="仿宋" w:hAnsi="仿宋" w:eastAsia="仿宋" w:cs="仿宋"/>
          <w:color w:val="auto"/>
          <w:sz w:val="24"/>
          <w:szCs w:val="24"/>
          <w:highlight w:val="none"/>
        </w:rPr>
        <w:t>合作单位应爱护餐厅内的公物，不得将餐厅内的用具随意损坏、丢失或转借他人。</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4.3.10</w:t>
      </w:r>
      <w:r>
        <w:rPr>
          <w:rFonts w:hint="eastAsia" w:ascii="仿宋" w:hAnsi="仿宋" w:eastAsia="仿宋" w:cs="仿宋"/>
          <w:color w:val="auto"/>
          <w:sz w:val="24"/>
          <w:szCs w:val="24"/>
          <w:highlight w:val="none"/>
        </w:rPr>
        <w:t>餐厅的厨余垃圾由合作单位与厨余垃圾收运单位签订收运协议，合法合规处理厨余垃圾，其他餐厅垃圾按相关规定进行处理，不按规定处理引起的一切责任由合作单位负责。</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4.3.11</w:t>
      </w:r>
      <w:r>
        <w:rPr>
          <w:rFonts w:hint="eastAsia" w:ascii="仿宋" w:hAnsi="仿宋" w:eastAsia="仿宋" w:cs="仿宋"/>
          <w:color w:val="auto"/>
          <w:sz w:val="24"/>
          <w:szCs w:val="24"/>
          <w:highlight w:val="none"/>
        </w:rPr>
        <w:t>合作单位须做好餐厅的消防安全工作，不得出现任何人为的消防安全事故隐患，并定期接受招募方及相关机构的监督检查。餐厅内的消防安全及工具、煤气、电源（炉灶、各种炊事设备）操作事故责任均由合作单位承担。</w:t>
      </w:r>
    </w:p>
    <w:p>
      <w:pPr>
        <w:widowControl/>
        <w:spacing w:line="5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4.3.12</w:t>
      </w:r>
      <w:r>
        <w:rPr>
          <w:rFonts w:hint="eastAsia" w:ascii="仿宋" w:hAnsi="仿宋" w:eastAsia="仿宋" w:cs="仿宋"/>
          <w:color w:val="auto"/>
          <w:sz w:val="24"/>
          <w:szCs w:val="24"/>
          <w:highlight w:val="none"/>
        </w:rPr>
        <w:t>在服务过程中若厨师的出品出现经常性不稳定等情况，导致菜品不稳定或较多用餐人员不满意，招募方有权要求合作单位进行更换，合作单位需无条件配合调整。</w:t>
      </w:r>
    </w:p>
    <w:p>
      <w:pPr>
        <w:widowControl/>
        <w:spacing w:line="50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4.4</w:t>
      </w:r>
      <w:r>
        <w:rPr>
          <w:rFonts w:hint="eastAsia" w:ascii="仿宋" w:hAnsi="仿宋" w:eastAsia="仿宋" w:cs="仿宋"/>
          <w:color w:val="auto"/>
          <w:sz w:val="24"/>
          <w:szCs w:val="24"/>
          <w:highlight w:val="none"/>
        </w:rPr>
        <w:t>核心人员要求及具体职责</w:t>
      </w:r>
    </w:p>
    <w:p>
      <w:pPr>
        <w:widowControl/>
        <w:spacing w:line="50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4.4.1</w:t>
      </w:r>
      <w:r>
        <w:rPr>
          <w:rFonts w:hint="eastAsia" w:ascii="仿宋" w:hAnsi="仿宋" w:eastAsia="仿宋" w:cs="仿宋"/>
          <w:color w:val="auto"/>
          <w:sz w:val="24"/>
          <w:szCs w:val="24"/>
          <w:highlight w:val="none"/>
        </w:rPr>
        <w:t>核心人员配置要求</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（1）本项目须配备一名项目经理作为现场管理者，统筹餐厅整体管理事务。</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（2）本项目须配备一名行政总厨，统筹堂餐出品工作。</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（3）核心人员不可随意变动，如有变动须提前报招募方批准。</w:t>
      </w:r>
    </w:p>
    <w:p>
      <w:pPr>
        <w:pStyle w:val="2"/>
        <w:rPr>
          <w:rFonts w:hint="default"/>
          <w:color w:val="auto"/>
          <w:highlight w:val="none"/>
          <w:lang w:val="en-US" w:eastAsia="zh-CN"/>
        </w:rPr>
      </w:pPr>
      <w:r>
        <w:rPr>
          <w:rFonts w:hint="eastAsia"/>
          <w:color w:val="auto"/>
          <w:highlight w:val="none"/>
          <w:lang w:val="en-US" w:eastAsia="zh-CN"/>
        </w:rPr>
        <w:t>（4）</w:t>
      </w:r>
      <w:r>
        <w:rPr>
          <w:rFonts w:hint="eastAsia" w:cs="Tahoma"/>
          <w:color w:val="auto"/>
          <w:kern w:val="0"/>
          <w:sz w:val="24"/>
          <w:szCs w:val="24"/>
          <w:highlight w:val="none"/>
          <w:lang w:eastAsia="zh-CN"/>
        </w:rPr>
        <w:t>合作</w:t>
      </w:r>
      <w:r>
        <w:rPr>
          <w:rFonts w:hint="eastAsia" w:ascii="仿宋" w:hAnsi="仿宋" w:eastAsia="仿宋" w:cs="Tahoma"/>
          <w:color w:val="auto"/>
          <w:kern w:val="0"/>
          <w:sz w:val="24"/>
          <w:szCs w:val="24"/>
          <w:highlight w:val="none"/>
        </w:rPr>
        <w:t>单位的餐厅服务团队需按餐厅就餐人数不少于配置比例1：45配比投入</w:t>
      </w:r>
      <w:r>
        <w:rPr>
          <w:rFonts w:hint="eastAsia" w:ascii="仿宋" w:hAnsi="仿宋" w:eastAsia="仿宋" w:cs="Tahoma"/>
          <w:color w:val="auto"/>
          <w:kern w:val="0"/>
          <w:sz w:val="24"/>
          <w:szCs w:val="24"/>
          <w:highlight w:val="none"/>
          <w:lang w:eastAsia="zh-CN"/>
        </w:rPr>
        <w:t>餐厅</w:t>
      </w:r>
      <w:r>
        <w:rPr>
          <w:rFonts w:hint="eastAsia" w:cs="Tahoma"/>
          <w:color w:val="auto"/>
          <w:kern w:val="0"/>
          <w:sz w:val="24"/>
          <w:szCs w:val="24"/>
          <w:highlight w:val="none"/>
          <w:lang w:eastAsia="zh-CN"/>
        </w:rPr>
        <w:t>工作</w:t>
      </w:r>
      <w:r>
        <w:rPr>
          <w:rFonts w:hint="eastAsia" w:ascii="仿宋" w:hAnsi="仿宋" w:eastAsia="仿宋" w:cs="Tahoma"/>
          <w:color w:val="auto"/>
          <w:kern w:val="0"/>
          <w:sz w:val="24"/>
          <w:szCs w:val="24"/>
          <w:highlight w:val="none"/>
        </w:rPr>
        <w:t>人员</w:t>
      </w:r>
      <w:r>
        <w:rPr>
          <w:rFonts w:hint="eastAsia" w:ascii="仿宋" w:hAnsi="仿宋" w:eastAsia="仿宋" w:cs="Tahoma"/>
          <w:color w:val="auto"/>
          <w:kern w:val="0"/>
          <w:sz w:val="24"/>
          <w:szCs w:val="24"/>
          <w:highlight w:val="none"/>
          <w:lang w:eastAsia="zh-CN"/>
        </w:rPr>
        <w:t>。</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4.4.2服务人员相关要求</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（1）所有工作人员应通过卫生防疫部门的体检，并领取饮食行业健康证，且将原件交招募方查验后才能上岗，复印件交招募方存档。</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（2）项目员工保持良好个人卫生，生产经营食品时，应当将手洗净，穿戴清洁的工作衣、帽及口罩，配餐时戴手套操作；不得留长指甲、佩戴饰物，手部有外伤的人员不得从事食品生产经营活动。</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（3）所有工作人员每年体检不少于1次，体检相关费用由合作单位承担。</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（4）符合国家用工规定（年龄、计划生育情况等）。</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（5）如因用工引起的劳动纠纷问题由合作单位负责解决并承担相关责任。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4.4.3核心人员具体工作职责</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（1）项目经理：负责对本项目所提供的服务进行统筹，按相关规定进行监督、检查等管理工作，同时与招募方管理人员沟通联系，及时解决工作中出现的问题，具体职责如下：</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①负责建立健全餐厅管理的规章制度及操作流程（如食品留样制度、餐具清洗消毒流程等），并按制度流程标准严格监督执行。</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②负责定期组织员工培训与技能提升，增强服务意识、服务水平，并接受招募方监督。</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③严格执行食品卫生法，监督并检查食品卫生和环境卫生的执行情况，严格把控食品安全质量关，杜绝食物中毒事件发生。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④监督、提高员工的节约意识，杜绝浪费现象，爱惜餐厅设备、设施及餐厨用具。餐厅营业时间结束后，检查门、窗、水、电、气、油等是否关闭，做好节能和安全工作。</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⑤检查厨房设备设施运转和使用情况，抓好设备设施的维护保养，水电气供应的关键部位有规范的警示标示，防止发生意外事故。</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⑥严格执行消防规程，定期检查消防器材，做好防火工作。</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⑦掌握餐厅工作规律，善于发现问题，能处理一般投诉，并将情况向上级报告，不断积累经验。</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⑧每月至少开展一次职工的满意度调查，征求就餐人员意见，开展膳食服务追踪与评价，并持续改进。</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（2）厨师团队：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①负责早、中、晚菜点烹制，根据招募方的要求，烹饪不同菜式，兼顾五湖四海各种口味。</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②根据季节行情实际，研究制定每周菜谱，控制成本。严格按照菜式规定，烹制各种菜肴，保证菜谱5天内不重样，并提前一周公布菜谱。</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③注意营养合理搭配，早餐：蛋白质、粗粮合理搭配；午餐和晚餐做到荤素合理搭配，种类多样化。</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④保持地方菜特色和风味，能满足就餐者多样化的口味需求，提高职工的满意度。</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4.5食材供应要求</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合作单位自行负责原材料的采购、配送，并保证品质。合作单位要严格做好相关采购“</w:t>
      </w:r>
      <w:del w:id="3" w:author="WPS_1469634715" w:date="2025-05-08T17:12:09Z">
        <w:r>
          <w:rPr>
            <w:rFonts w:hint="eastAsia" w:ascii="仿宋" w:hAnsi="仿宋" w:eastAsia="仿宋" w:cs="仿宋"/>
            <w:color w:val="auto"/>
            <w:sz w:val="24"/>
            <w:szCs w:val="24"/>
            <w:highlight w:val="none"/>
            <w:lang w:val="en-US" w:eastAsia="zh-CN"/>
          </w:rPr>
          <w:delText>台帐</w:delText>
        </w:r>
      </w:del>
      <w:ins w:id="4" w:author="WPS_1469634715" w:date="2025-05-08T17:12:09Z">
        <w:r>
          <w:rPr>
            <w:rFonts w:hint="eastAsia" w:ascii="仿宋" w:hAnsi="仿宋" w:eastAsia="仿宋" w:cs="仿宋"/>
            <w:color w:val="auto"/>
            <w:sz w:val="24"/>
            <w:szCs w:val="24"/>
            <w:highlight w:val="none"/>
            <w:lang w:val="en-US" w:eastAsia="zh-CN"/>
          </w:rPr>
          <w:t>台账</w:t>
        </w:r>
      </w:ins>
      <w:bookmarkStart w:id="3" w:name="_GoBack"/>
      <w:bookmarkEnd w:id="3"/>
      <w:r>
        <w:rPr>
          <w:rFonts w:hint="eastAsia" w:ascii="仿宋" w:hAnsi="仿宋" w:eastAsia="仿宋" w:cs="仿宋"/>
          <w:color w:val="auto"/>
          <w:sz w:val="24"/>
          <w:szCs w:val="24"/>
          <w:highlight w:val="none"/>
          <w:lang w:val="en-US" w:eastAsia="zh-CN"/>
        </w:rPr>
        <w:t>”，台账记录必须由专人规范填写，随时接受招募方及上级部门的检查。</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4.5.1质量要求</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（1）所提供的物品必须符合国家有关标准，且在质保期内，保证无异味、无霉烂变质。如不符合招募文件所描述的质量标准，必须退货并承担违约责任。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（2）所提供的物品指标要符合国家强制性标准要求，食品类产品，合作单位必须清晰地列出产品品牌，型号、包装类型、包装方式、包装净重量等相关参数。</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（3）对货物的品质要求，必须符合国家，食品部门的有关标准和规格要求。</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（4）对货物（鲜肉、冷冻肉）的品质要求，必须符合国家，食品部门的有关标准和规格要求，鲜肉、冷冻肉供货时需提供当批次有效的动物产品检疫合格证，原件备查。</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每批鲜肉、骨应保持较好的外观和质量等级，符合国家食品部门的有关标准，保证无味、无腐烂变质，必须提供放心肉证及当批有效的动物检疫合格证复印件（原件备查），分割的猪肉每次送货时均提供有猪肉分割证，鲜肉确保每日新鲜、无异味，并注明保鲜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（6）蛋类：包装完整，新鲜，无裂纹、无异味。</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蔬菜、瓜果必须是优质货品，不得含有残留农药或污染物，合作单位必须保证所供应的蔬菜符合卫生标准，卫生指标应符合我国无公害蔬菜上的卫生指标规定，同时承担因所供蔬菜问题引起的一切事故后果。各种蔬菜都应具有本品种固有的气味、形态、颜色、光泽及蔬菜的成熟度和鲜嫩程度，没有腐烂变质及其他异常味道，不能提供萎蔫、枯塌、损伤、病变、虫害等异常蔬菜。</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叶菜类应肉质鲜嫩、形态好、色泽正常、茎基部削平，无黄叶、病叶、泥土、明显机械伤和病虫害，无烧心焦边、腐烂等现象，无抽苔，无畸形、异味，结球叶菜芭结球适度，花椰菜类应新鲜洁白，不带叶麸、无畸形花。</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（9）茄果类等应果实整洁，成熟度适中，番茄花蒂不明显，无裂果及空洞现象，茄果不能有裂蒂及果皮变硬现象，无腐烂、畸形、异味，无明显机械伤。</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（10）瓜果类等形状、色泽一致，瓜条均匀，无疤点，无断裂，无腐烂、畸形、异味、明显机械伤，不带泥土。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（11）根菜类等品种皮细光滑，大小均匀，肉质脆嫩、新鲜，无断裂，无腐烂、裂痕、糠心、异味、不带泥土、茎叶和须根。</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（12）薯芋类应色泽一致、不带泥土、茎叶和须根，不干瘪、无腐烂、畸形、异味、明显机械伤，病虫害斑、马铃薯无发芽，皮不变绿。</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（13）葱蒜类应不带老叶、枯叶，不带泥土，无腐烂、异味。</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（14）豆类应形态完整，成熟度适中，无腐烂、畸形、异味，豆荚类新鲜、嫩、均匀，豆粒饱满，无发芽，不带泥土。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（15）食用菌类应新鲜、无杂质、无腐烂、畸形、异味。</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（16）米、油货物必须符合卫生，不得有腐烂、变质、油脂酸败、霉变、生虫、污秽不洁、混有异物或者其他感官性状异常，并可能对人体健康有害的物质</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17）粮油类应色泽良好，无异味、无霉变，有正规生产厂家合格证书、提供国家机关发出的产品检验合格证书。包装箱完整，同时包装箱要印有注册商标、生产厂家名称、厂址、生产日期、产品合格证、保质期限、产品成分、厂家电话号码等。</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（18）散装豆类应提供生产厂家营业执照、卫生许可证、国家机关发出的产品检验合格证书。</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19）每个食用油品种必须色泽好，透明度高，无浑浊，无沉淀和悬浮物，黏度小，无分层现象，气味正常，无酸臭异味。严格执行国家相关质量标准及卫生安全标准，色泽、气味、霉变、真菌毒素、重金属污染物、农药等严格控制在国家标准范围内（原粮及成品粮色泽、气味必须正常。根据用户需求的食用油等级保质保量完成供货。要求提供的食用油生产厂家信誉良好，有明确的物品标签，有生产日期、保质期、质量等级，并标明初制油的加工工艺(即用浸出法生产，还是用压榨法生产的)和是否用转基因油料生产，不许以次充好、以假充真。如将毛油当一级或二级油进行销售，将低价位的植物油掺入高价位植物油中进行销售，牟取暴利，一经查处，合作单位将承担全部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（20）合作单位所提供的物品质量必须要符合行业标准要求，不得有掺假、变质、变味、过期等现象出现，严禁伪劣、假冒、无证不合格物品进入仓库。</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（21）所提供的物品不得为转基因物品或转基因制成品，经查实所提供物品中具有转基因物品或转基因制成品立即终止合同，并由合作单位将承担全部责任。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合作单位在供应过程中，如果发生出现质量问题或造成食物中毒,如变质情况，经查实后确属合作单位责任，合作单位应承担全部责任，主要包括食物中毒人员医疗费、误工费、事故处理费等，直至追究刑事责任。如因合作单位供应货物发生食品安全事故，招募方有权单方面终止供应合同，并重新另行委托响应单位供应，由此产生的一切费用由合作单位负责。</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4.5.2食品安全保障措施</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合作单位必须遵守国家规定的《食品安全法》、《农产品质量安全法》等法律和行政法规的规定，提供的货品必须符合国家有关卫生标准，保质、保量、保鲜，严禁配送假冒、变质、过期的农副产品。不合格的货品，合作单位必须包退包换。</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（2）合作单位须购买的食品分类用器具装载，不得混装，运输过程应采取相应的保鲜防护措施。</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（3）如因合作单位所提供的食品引起食用的人身体不适、发生食物中毒等问题，若经质量检验部门确定是合作单位的责任,由合作单位承担全部经济赔偿与法律责任。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合作单位应充分理解并认真遵循本招募文件的要求，所提供的货物必须是满足招募文件要求。保证供应的货品均为正规生产的新鲜（冰鲜除外）检验合格、无毒、无腐烂、无辐射无侵权、无变质货品，符合国家有关卫生、质量、包装和保质标准，要使用有效期的货品，其剩余有效期不得少于标注有效期的75%。</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合作单位提供的蔬菜必须保证每日新鲜，并符合食品卫生安全法要求。招募方有权随机使用“农药测试卡”检验蔬菜农药含量，如含量超标要求合作单位无条件退货或换货，出现1次含量超标情况的，并处以合作单位人民币3000元罚款，罚款由当月的结算款内扣除。出现3次以上含量超标情况的，招募方有权单方终止合同。</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（6）合作单位保证所提供的鲜肉类、生禽、鲜水产、蔬菜种类的多样性和季节性，以保证新鲜感。</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（7）货物有包装的，货物的包装完整清洁（无损、无污、无皱），招募方有权拒收包装不整齐、已拆封的商品。</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（8）招募方发现商品出现损坏（包括表面损坏），或出现水渍、串味、受潮等导致货物性质改变的，合作单位必须无条件退货或更换商品。</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（9）合作单位提供假冒伪劣、过期、变质、有毒等不合格食品的，一经发现，除按招募方要求无条件退货或换货外，还将受到如下处罚：</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①合作单位将被处以当次供应食品货款2倍的罚款。</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合作单位提供的食品，引起食用的人身体不适、发生食物中毒等问题，经食品药品监督管理部门确定后，如确实为合作单位提供的食品问题，因此产生的医药等一切费用全部由合作单位承担；且招募方将取消该合作单位的供货资格，因此产生的经济赔偿及相应法律责任全部由合作单位承担。</w:t>
      </w:r>
    </w:p>
    <w:p>
      <w:pPr>
        <w:pStyle w:val="2"/>
        <w:rPr>
          <w:rFonts w:hint="eastAsia"/>
          <w:color w:val="auto"/>
          <w:highlight w:val="none"/>
          <w:lang w:val="en-US" w:eastAsia="zh-CN"/>
        </w:rPr>
      </w:pPr>
      <w:r>
        <w:rPr>
          <w:rFonts w:hint="eastAsia" w:cs="仿宋"/>
          <w:color w:val="auto"/>
          <w:sz w:val="24"/>
          <w:szCs w:val="24"/>
          <w:highlight w:val="none"/>
          <w:lang w:val="en-US" w:eastAsia="zh-CN"/>
        </w:rPr>
        <w:t>（10）合作单位须自有农副产品质量安全配送追溯管理著作权证书、食品配送可视化智能监管系统著作权证书、食品与农产品全程溯源著作权登记证书，或具有以上管理系统的使用权。</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lang w:val="en-US" w:eastAsia="zh-CN"/>
        </w:rPr>
      </w:pPr>
      <w:r>
        <w:rPr>
          <w:rFonts w:hint="eastAsia" w:ascii="仿宋" w:hAnsi="仿宋" w:eastAsia="仿宋" w:cs="Tahoma"/>
          <w:b/>
          <w:bCs/>
          <w:color w:val="auto"/>
          <w:kern w:val="0"/>
          <w:sz w:val="24"/>
          <w:szCs w:val="24"/>
          <w:highlight w:val="none"/>
          <w:lang w:val="en-US" w:eastAsia="zh-CN"/>
        </w:rPr>
        <w:t>五、履约担保</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GB" w:eastAsia="zh-CN"/>
        </w:rPr>
        <w:t>合作单位须按以下要求向招募方提交履约担保：</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GB" w:eastAsia="zh-CN"/>
        </w:rPr>
        <w:t>1.履约担保的提供方式：采用现金转账</w:t>
      </w:r>
      <w:r>
        <w:rPr>
          <w:rFonts w:hint="eastAsia" w:ascii="仿宋" w:hAnsi="仿宋" w:eastAsia="仿宋" w:cs="仿宋"/>
          <w:color w:val="auto"/>
          <w:sz w:val="24"/>
          <w:szCs w:val="24"/>
          <w:highlight w:val="none"/>
          <w:lang w:val="en-US" w:eastAsia="zh-CN"/>
        </w:rPr>
        <w:t>或保函</w:t>
      </w:r>
      <w:r>
        <w:rPr>
          <w:rFonts w:hint="eastAsia" w:ascii="仿宋" w:hAnsi="仿宋" w:eastAsia="仿宋" w:cs="仿宋"/>
          <w:color w:val="auto"/>
          <w:sz w:val="24"/>
          <w:szCs w:val="24"/>
          <w:highlight w:val="none"/>
          <w:lang w:val="en-GB" w:eastAsia="zh-CN"/>
        </w:rPr>
        <w:t>形式（相关手续费用由合作单位承担）；</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GB" w:eastAsia="zh-CN"/>
        </w:rPr>
        <w:t>2.履约担保的金额：</w:t>
      </w:r>
      <w:r>
        <w:rPr>
          <w:rFonts w:hint="eastAsia" w:ascii="仿宋" w:hAnsi="仿宋" w:eastAsia="仿宋" w:cs="仿宋"/>
          <w:color w:val="auto"/>
          <w:sz w:val="24"/>
          <w:szCs w:val="24"/>
          <w:highlight w:val="none"/>
          <w:lang w:val="en-US" w:eastAsia="zh-CN"/>
        </w:rPr>
        <w:t>¥3,00,000.00元（大写：人民币叁拾万元整）</w:t>
      </w:r>
      <w:r>
        <w:rPr>
          <w:rFonts w:hint="eastAsia" w:ascii="仿宋" w:hAnsi="仿宋" w:eastAsia="仿宋" w:cs="仿宋"/>
          <w:color w:val="auto"/>
          <w:sz w:val="24"/>
          <w:szCs w:val="24"/>
          <w:highlight w:val="none"/>
          <w:lang w:val="en-GB" w:eastAsia="zh-CN"/>
        </w:rPr>
        <w:t>；</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GB" w:eastAsia="zh-CN"/>
        </w:rPr>
        <w:t>3.履约担保的提交时间：合作单位接到合作通知书后30个日历天内；</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GB" w:eastAsia="zh-CN"/>
        </w:rPr>
        <w:t>4.履约担保退还时间的约定：合作期内完成所有合同的</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lang w:val="en-GB" w:eastAsia="zh-CN"/>
        </w:rPr>
        <w:t>要求</w:t>
      </w:r>
      <w:r>
        <w:rPr>
          <w:rFonts w:hint="eastAsia" w:ascii="仿宋" w:hAnsi="仿宋" w:eastAsia="仿宋" w:cs="仿宋"/>
          <w:color w:val="auto"/>
          <w:sz w:val="24"/>
          <w:szCs w:val="24"/>
          <w:highlight w:val="none"/>
          <w:lang w:val="en-US" w:eastAsia="zh-CN"/>
        </w:rPr>
        <w:t>且合作单位不存在</w:t>
      </w:r>
      <w:r>
        <w:rPr>
          <w:rFonts w:hint="eastAsia" w:ascii="仿宋" w:hAnsi="仿宋" w:eastAsia="仿宋" w:cs="仿宋"/>
          <w:color w:val="auto"/>
          <w:sz w:val="24"/>
          <w:szCs w:val="24"/>
          <w:highlight w:val="none"/>
          <w:lang w:val="en-GB" w:eastAsia="zh-CN"/>
        </w:rPr>
        <w:t>未完成整改的违</w:t>
      </w:r>
      <w:r>
        <w:rPr>
          <w:rFonts w:hint="eastAsia" w:ascii="仿宋" w:hAnsi="仿宋" w:eastAsia="仿宋" w:cs="仿宋"/>
          <w:color w:val="auto"/>
          <w:sz w:val="24"/>
          <w:szCs w:val="24"/>
          <w:highlight w:val="none"/>
          <w:lang w:val="en-US" w:eastAsia="zh-CN"/>
        </w:rPr>
        <w:t>约情况</w:t>
      </w:r>
      <w:r>
        <w:rPr>
          <w:rFonts w:hint="eastAsia" w:ascii="仿宋" w:hAnsi="仿宋" w:eastAsia="仿宋" w:cs="仿宋"/>
          <w:color w:val="auto"/>
          <w:sz w:val="24"/>
          <w:szCs w:val="24"/>
          <w:highlight w:val="none"/>
          <w:lang w:val="en-GB" w:eastAsia="zh-CN"/>
        </w:rPr>
        <w:t>并经招募方确认后30个日历天内无息退还（</w:t>
      </w:r>
      <w:r>
        <w:rPr>
          <w:rFonts w:hint="eastAsia" w:ascii="仿宋" w:hAnsi="仿宋" w:eastAsia="仿宋" w:cs="仿宋"/>
          <w:color w:val="auto"/>
          <w:sz w:val="24"/>
          <w:szCs w:val="24"/>
          <w:highlight w:val="none"/>
          <w:lang w:val="en-US" w:eastAsia="zh-CN"/>
        </w:rPr>
        <w:t>如本项目完成续签后，履约担保有效期顺延至续签合同完成后或按要求重新开具</w:t>
      </w:r>
      <w:r>
        <w:rPr>
          <w:rFonts w:hint="eastAsia" w:ascii="仿宋" w:hAnsi="仿宋" w:eastAsia="仿宋" w:cs="仿宋"/>
          <w:color w:val="auto"/>
          <w:sz w:val="24"/>
          <w:szCs w:val="24"/>
          <w:highlight w:val="none"/>
          <w:lang w:val="en-GB" w:eastAsia="zh-CN"/>
        </w:rPr>
        <w:t>）；</w:t>
      </w:r>
    </w:p>
    <w:p>
      <w:pPr>
        <w:widowControl/>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en-GB" w:eastAsia="zh-CN"/>
        </w:rPr>
        <w:t>.在履行本合同过程中，因合作单位违约导致的违约金、赔偿金、滞纳金、罚款以及招募方额外支出等，招募方均有权在履约担保或合同款中予以扣除，</w:t>
      </w:r>
      <w:r>
        <w:rPr>
          <w:rFonts w:hint="eastAsia" w:ascii="仿宋" w:hAnsi="仿宋" w:eastAsia="仿宋" w:cs="仿宋"/>
          <w:color w:val="auto"/>
          <w:sz w:val="24"/>
          <w:szCs w:val="24"/>
          <w:highlight w:val="none"/>
          <w:lang w:val="en-US" w:eastAsia="zh-CN"/>
        </w:rPr>
        <w:t>不足部分仍需由合作单位向招募方偿付</w:t>
      </w:r>
      <w:r>
        <w:rPr>
          <w:rFonts w:hint="eastAsia" w:ascii="仿宋" w:hAnsi="仿宋" w:eastAsia="仿宋" w:cs="仿宋"/>
          <w:color w:val="auto"/>
          <w:sz w:val="24"/>
          <w:szCs w:val="24"/>
          <w:highlight w:val="none"/>
          <w:lang w:val="en-GB" w:eastAsia="zh-CN"/>
        </w:rPr>
        <w:t>；若在履约担保期限（即本项目合同期限）内，招募方行使受担保权利，扣收履约保证金或者要求担保机构履行担保责任，则合作单位应按照履约担保金额补足履约保证金；合作单位必须保证在履行本合同过程中，合作单位提供的履约担保金额均满足本条款第2项约定的金额；</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GB" w:eastAsia="zh-CN"/>
        </w:rPr>
        <w:t>.合作单位不能按要求提供履约担保、补足履约保证金的，招募方有权不支付任何合同款项并有权要求担保机构履行担保责任，若采取保证金形式提供履约担保的，则不予退还其缔约保证金及剩余履约保证金（若有），取消其合作资格，并单方解除合同，若因此给招募方造成损失的，合作单位须赔偿全部损失。</w:t>
      </w:r>
    </w:p>
    <w:p>
      <w:pPr>
        <w:widowControl/>
        <w:numPr>
          <w:ilvl w:val="0"/>
          <w:numId w:val="0"/>
        </w:numPr>
        <w:spacing w:line="500" w:lineRule="exact"/>
        <w:ind w:firstLine="548" w:firstLineChars="0"/>
        <w:jc w:val="left"/>
        <w:rPr>
          <w:rFonts w:hint="eastAsia" w:ascii="仿宋" w:hAnsi="仿宋" w:eastAsia="仿宋" w:cs="Tahoma"/>
          <w:b/>
          <w:bCs/>
          <w:color w:val="auto"/>
          <w:kern w:val="0"/>
          <w:sz w:val="24"/>
          <w:szCs w:val="24"/>
          <w:highlight w:val="none"/>
        </w:rPr>
      </w:pPr>
      <w:r>
        <w:rPr>
          <w:rFonts w:hint="eastAsia" w:ascii="仿宋" w:hAnsi="仿宋" w:eastAsia="仿宋" w:cs="Tahoma"/>
          <w:b/>
          <w:bCs/>
          <w:color w:val="auto"/>
          <w:kern w:val="0"/>
          <w:sz w:val="24"/>
          <w:szCs w:val="24"/>
          <w:highlight w:val="none"/>
          <w:lang w:val="en-US" w:eastAsia="zh-CN"/>
        </w:rPr>
        <w:t>六、</w:t>
      </w:r>
      <w:r>
        <w:rPr>
          <w:rFonts w:hint="eastAsia" w:ascii="仿宋" w:hAnsi="仿宋" w:eastAsia="仿宋" w:cs="Tahoma"/>
          <w:b/>
          <w:bCs/>
          <w:color w:val="auto"/>
          <w:kern w:val="0"/>
          <w:sz w:val="24"/>
          <w:szCs w:val="24"/>
          <w:highlight w:val="none"/>
        </w:rPr>
        <w:t>结算及支付方式</w:t>
      </w:r>
    </w:p>
    <w:p>
      <w:pPr>
        <w:widowControl/>
        <w:spacing w:line="500" w:lineRule="exact"/>
        <w:ind w:firstLine="480" w:firstLineChars="200"/>
        <w:jc w:val="left"/>
        <w:rPr>
          <w:rFonts w:hint="eastAsia" w:ascii="仿宋" w:hAnsi="仿宋" w:eastAsia="仿宋" w:cs="仿宋"/>
          <w:color w:val="auto"/>
          <w:kern w:val="2"/>
          <w:sz w:val="24"/>
          <w:szCs w:val="24"/>
          <w:highlight w:val="none"/>
          <w:u w:val="none"/>
        </w:rPr>
      </w:pPr>
      <w:r>
        <w:rPr>
          <w:rFonts w:hint="eastAsia" w:ascii="仿宋" w:hAnsi="仿宋" w:eastAsia="仿宋" w:cs="仿宋"/>
          <w:b w:val="0"/>
          <w:bCs w:val="0"/>
          <w:color w:val="auto"/>
          <w:kern w:val="2"/>
          <w:sz w:val="24"/>
          <w:szCs w:val="24"/>
          <w:highlight w:val="none"/>
        </w:rPr>
        <w:t>1.结算方式：</w:t>
      </w:r>
      <w:r>
        <w:rPr>
          <w:rFonts w:hint="eastAsia" w:ascii="仿宋" w:hAnsi="仿宋" w:eastAsia="仿宋" w:cs="仿宋"/>
          <w:color w:val="auto"/>
          <w:kern w:val="2"/>
          <w:sz w:val="24"/>
          <w:szCs w:val="24"/>
          <w:highlight w:val="none"/>
          <w:u w:val="none"/>
        </w:rPr>
        <w:t>按月结算日常运营费用，月度合作方日常运营费用=月度餐饮收入费用-当月管理服务费用（当月管理服务费以合作方最终响应报价为准，按月度平均摊分）。</w:t>
      </w:r>
    </w:p>
    <w:p>
      <w:pPr>
        <w:widowControl/>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注：招募方作为餐厅运营的唯一收款方，</w:t>
      </w:r>
      <w:r>
        <w:rPr>
          <w:rFonts w:hint="eastAsia" w:ascii="仿宋" w:hAnsi="仿宋" w:eastAsia="仿宋" w:cs="仿宋"/>
          <w:color w:val="auto"/>
          <w:sz w:val="24"/>
          <w:szCs w:val="24"/>
          <w:highlight w:val="none"/>
        </w:rPr>
        <w:t>招募方向合作单位支付合作方日常运营费用，计算方式为招募方扣除当月的</w:t>
      </w:r>
      <w:r>
        <w:rPr>
          <w:rFonts w:hint="eastAsia" w:ascii="仿宋" w:hAnsi="仿宋" w:eastAsia="仿宋" w:cs="仿宋"/>
          <w:color w:val="auto"/>
          <w:kern w:val="2"/>
          <w:sz w:val="24"/>
          <w:szCs w:val="24"/>
          <w:highlight w:val="none"/>
          <w:u w:val="none"/>
        </w:rPr>
        <w:t>管理服务费用后</w:t>
      </w:r>
      <w:r>
        <w:rPr>
          <w:rFonts w:hint="eastAsia" w:ascii="仿宋" w:hAnsi="仿宋" w:eastAsia="仿宋" w:cs="仿宋"/>
          <w:color w:val="auto"/>
          <w:sz w:val="24"/>
          <w:szCs w:val="24"/>
          <w:highlight w:val="none"/>
        </w:rPr>
        <w:t>剩余款项</w:t>
      </w:r>
      <w:r>
        <w:rPr>
          <w:rFonts w:hint="eastAsia" w:ascii="仿宋" w:hAnsi="仿宋" w:eastAsia="仿宋" w:cs="仿宋"/>
          <w:color w:val="auto"/>
          <w:kern w:val="2"/>
          <w:sz w:val="24"/>
          <w:szCs w:val="24"/>
          <w:highlight w:val="none"/>
        </w:rPr>
        <w:t>（所有费用由合作单位根据开票内容开具对应增值税专用发票且招募方确认后，由招募方实施支付）。</w:t>
      </w:r>
    </w:p>
    <w:p>
      <w:pPr>
        <w:widowControl/>
        <w:spacing w:line="500" w:lineRule="exact"/>
        <w:ind w:firstLine="480" w:firstLineChars="200"/>
        <w:jc w:val="left"/>
        <w:rPr>
          <w:rFonts w:hint="eastAsia" w:ascii="仿宋" w:hAnsi="仿宋" w:eastAsia="仿宋" w:cs="仿宋"/>
          <w:b w:val="0"/>
          <w:bCs w:val="0"/>
          <w:color w:val="auto"/>
          <w:kern w:val="2"/>
          <w:sz w:val="24"/>
          <w:szCs w:val="24"/>
          <w:highlight w:val="none"/>
        </w:rPr>
      </w:pPr>
      <w:r>
        <w:rPr>
          <w:rFonts w:hint="eastAsia" w:ascii="仿宋" w:hAnsi="仿宋" w:eastAsia="仿宋" w:cs="仿宋"/>
          <w:b w:val="0"/>
          <w:bCs w:val="0"/>
          <w:color w:val="auto"/>
          <w:kern w:val="2"/>
          <w:sz w:val="24"/>
          <w:szCs w:val="24"/>
          <w:highlight w:val="none"/>
        </w:rPr>
        <w:t>2.支付方式：</w:t>
      </w:r>
    </w:p>
    <w:p>
      <w:pPr>
        <w:widowControl/>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（1）合同款项支付阶段和比例如下：</w:t>
      </w:r>
    </w:p>
    <w:p>
      <w:pPr>
        <w:widowControl/>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①费用按月结算。每月5号前，双方须对上月合作方日常运营费用进行统计对账并核实。</w:t>
      </w:r>
    </w:p>
    <w:p>
      <w:pPr>
        <w:widowControl/>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②合作单位在完成上一个月服务工作且费用经双方核实无误后，在每月10号前向招募方提交请款材料，招募方在结算手续完善后三十个工作日内，通过转账结算（银行转账）向合作单位支付上一个月的结算费用。</w:t>
      </w:r>
    </w:p>
    <w:p>
      <w:pPr>
        <w:widowControl/>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③合作单位逾期开具发票或开具的发票不符合招募方要求的，招募方不承担逾期付款的责任。合作单位开具的发票名称、收款方名称均须一致。</w:t>
      </w:r>
    </w:p>
    <w:p>
      <w:pPr>
        <w:widowControl/>
        <w:numPr>
          <w:ilvl w:val="-1"/>
          <w:numId w:val="0"/>
        </w:numPr>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（2）付款期间如因特殊情况需调整，由双方协商处理。</w:t>
      </w:r>
    </w:p>
    <w:p>
      <w:pPr>
        <w:widowControl/>
        <w:numPr>
          <w:ilvl w:val="-1"/>
          <w:numId w:val="0"/>
        </w:numPr>
        <w:spacing w:line="500" w:lineRule="exact"/>
        <w:ind w:firstLine="480" w:firstLineChars="200"/>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合作单位知悉并理解招募方付款的相关程序，招募方在请款规定的时间向有关部门提出办理支付申请手续，若因审批流程或手续而造成项目支付进度合理延迟而导致逾期付款的，招募方不承担逾期付款违约责任。</w:t>
      </w:r>
    </w:p>
    <w:p>
      <w:pPr>
        <w:widowControl/>
        <w:spacing w:line="500" w:lineRule="exact"/>
        <w:ind w:firstLine="480" w:firstLineChars="200"/>
        <w:jc w:val="left"/>
        <w:rPr>
          <w:rFonts w:hint="eastAsia" w:ascii="仿宋" w:hAnsi="仿宋" w:eastAsia="仿宋" w:cs="仿宋"/>
          <w:color w:val="auto"/>
          <w:sz w:val="24"/>
          <w:szCs w:val="24"/>
          <w:highlight w:val="none"/>
          <w:lang w:val="en-US" w:eastAsia="zh-CN"/>
        </w:rPr>
        <w:sectPr>
          <w:pgSz w:w="11906" w:h="16838"/>
          <w:pgMar w:top="1020" w:right="1134" w:bottom="1020" w:left="1134" w:header="567" w:footer="567" w:gutter="0"/>
          <w:cols w:space="0" w:num="1"/>
          <w:docGrid w:type="lines" w:linePitch="312" w:charSpace="0"/>
        </w:sectPr>
      </w:pPr>
    </w:p>
    <w:p>
      <w:pPr>
        <w:widowControl/>
        <w:spacing w:line="500" w:lineRule="exact"/>
        <w:jc w:val="center"/>
        <w:rPr>
          <w:rFonts w:hint="eastAsia"/>
          <w:b/>
          <w:bCs/>
          <w:color w:val="auto"/>
          <w:sz w:val="36"/>
          <w:szCs w:val="36"/>
          <w:highlight w:val="none"/>
          <w:lang w:val="en-US" w:eastAsia="zh-CN"/>
        </w:rPr>
      </w:pPr>
      <w:r>
        <w:rPr>
          <w:rFonts w:hint="eastAsia"/>
          <w:b/>
          <w:bCs/>
          <w:color w:val="auto"/>
          <w:sz w:val="36"/>
          <w:szCs w:val="36"/>
          <w:highlight w:val="none"/>
          <w:lang w:val="en-US" w:eastAsia="zh-CN"/>
        </w:rPr>
        <w:t>第三章 响应单位须知</w:t>
      </w:r>
    </w:p>
    <w:p>
      <w:pPr>
        <w:pStyle w:val="4"/>
        <w:numPr>
          <w:ilvl w:val="-1"/>
          <w:numId w:val="0"/>
        </w:numPr>
        <w:tabs>
          <w:tab w:val="left" w:pos="0"/>
        </w:tabs>
        <w:spacing w:before="0" w:beforeLines="0" w:after="0" w:afterLines="0" w:line="360" w:lineRule="auto"/>
        <w:ind w:left="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1.对响应单位的资格要求：见招募公告第3.1款</w:t>
      </w:r>
    </w:p>
    <w:p>
      <w:pPr>
        <w:pStyle w:val="4"/>
        <w:numPr>
          <w:ilvl w:val="1"/>
          <w:numId w:val="0"/>
        </w:numPr>
        <w:tabs>
          <w:tab w:val="left" w:pos="0"/>
        </w:tabs>
        <w:spacing w:before="0" w:beforeLines="0" w:after="0" w:afterLines="0" w:line="360" w:lineRule="auto"/>
        <w:ind w:leftChars="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2.响应单位不得存在的情形：见招募公告第3.2款</w:t>
      </w:r>
    </w:p>
    <w:p>
      <w:pPr>
        <w:pStyle w:val="4"/>
        <w:numPr>
          <w:ilvl w:val="1"/>
          <w:numId w:val="0"/>
        </w:numPr>
        <w:tabs>
          <w:tab w:val="left" w:pos="0"/>
        </w:tabs>
        <w:spacing w:before="0" w:beforeLines="0" w:after="0" w:afterLines="0" w:line="360" w:lineRule="auto"/>
        <w:ind w:leftChars="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3.本次招募一般规则</w:t>
      </w:r>
    </w:p>
    <w:tbl>
      <w:tblPr>
        <w:tblStyle w:val="27"/>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855"/>
        <w:gridCol w:w="1489"/>
        <w:gridCol w:w="6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905" w:type="dxa"/>
            <w:vMerge w:val="restart"/>
            <w:vAlign w:val="center"/>
          </w:tcPr>
          <w:p>
            <w:pPr>
              <w:pStyle w:val="2"/>
              <w:spacing w:beforeLines="0" w:afterLines="0" w:line="360" w:lineRule="auto"/>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准备及其响应</w:t>
            </w:r>
          </w:p>
        </w:tc>
        <w:tc>
          <w:tcPr>
            <w:tcW w:w="855" w:type="dxa"/>
            <w:vAlign w:val="center"/>
          </w:tcPr>
          <w:p>
            <w:pPr>
              <w:pStyle w:val="2"/>
              <w:spacing w:beforeLines="0" w:afterLines="0" w:line="360" w:lineRule="auto"/>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3.1</w:t>
            </w:r>
          </w:p>
        </w:tc>
        <w:tc>
          <w:tcPr>
            <w:tcW w:w="1489" w:type="dxa"/>
            <w:vAlign w:val="center"/>
          </w:tcPr>
          <w:p>
            <w:pPr>
              <w:pStyle w:val="2"/>
              <w:spacing w:beforeLines="0" w:afterLines="0" w:line="360" w:lineRule="auto"/>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踏勘现场</w:t>
            </w:r>
          </w:p>
        </w:tc>
        <w:tc>
          <w:tcPr>
            <w:tcW w:w="6415" w:type="dxa"/>
            <w:vAlign w:val="center"/>
          </w:tcPr>
          <w:p>
            <w:pPr>
              <w:pStyle w:val="2"/>
              <w:spacing w:beforeLines="0" w:afterLines="0" w:line="36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不组织。</w:t>
            </w:r>
          </w:p>
          <w:p>
            <w:pPr>
              <w:pStyle w:val="2"/>
              <w:spacing w:beforeLines="0" w:afterLines="0" w:line="360" w:lineRule="auto"/>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□组织：①踏勘时间：北京时间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时</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分②踏勘集中地点：</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3.2</w:t>
            </w:r>
          </w:p>
        </w:tc>
        <w:tc>
          <w:tcPr>
            <w:tcW w:w="1489" w:type="dxa"/>
            <w:vAlign w:val="center"/>
          </w:tcPr>
          <w:p>
            <w:pPr>
              <w:pStyle w:val="2"/>
              <w:ind w:firstLine="0" w:firstLineChars="0"/>
              <w:jc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bidi="ar"/>
              </w:rPr>
              <w:t>响应截止时间</w:t>
            </w:r>
          </w:p>
        </w:tc>
        <w:tc>
          <w:tcPr>
            <w:tcW w:w="6415" w:type="dxa"/>
            <w:vAlign w:val="center"/>
          </w:tcPr>
          <w:p>
            <w:pPr>
              <w:pStyle w:val="2"/>
              <w:ind w:firstLine="0" w:firstLineChars="0"/>
              <w:jc w:val="left"/>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bidi="ar"/>
              </w:rPr>
              <w:t>见</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eastAsia="zh-CN" w:bidi="ar"/>
              </w:rPr>
              <w:t>公告</w:t>
            </w:r>
            <w:r>
              <w:rPr>
                <w:rFonts w:hint="eastAsia" w:ascii="仿宋" w:hAnsi="仿宋" w:eastAsia="仿宋" w:cs="仿宋"/>
                <w:color w:val="auto"/>
                <w:kern w:val="0"/>
                <w:sz w:val="24"/>
                <w:szCs w:val="24"/>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3</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最</w:t>
            </w:r>
            <w:r>
              <w:rPr>
                <w:rFonts w:hint="eastAsia" w:cs="仿宋"/>
                <w:color w:val="auto"/>
                <w:kern w:val="0"/>
                <w:sz w:val="24"/>
                <w:szCs w:val="24"/>
                <w:highlight w:val="none"/>
                <w:lang w:val="en-US" w:eastAsia="zh-CN" w:bidi="ar"/>
              </w:rPr>
              <w:t>低响应</w:t>
            </w:r>
            <w:r>
              <w:rPr>
                <w:rFonts w:hint="eastAsia" w:ascii="仿宋" w:hAnsi="仿宋" w:eastAsia="仿宋" w:cs="仿宋"/>
                <w:color w:val="auto"/>
                <w:kern w:val="0"/>
                <w:sz w:val="24"/>
                <w:szCs w:val="24"/>
                <w:highlight w:val="none"/>
                <w:lang w:bidi="ar"/>
              </w:rPr>
              <w:t>限价</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□不设置。</w:t>
            </w:r>
          </w:p>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设置。</w:t>
            </w:r>
          </w:p>
          <w:p>
            <w:pPr>
              <w:pStyle w:val="2"/>
              <w:ind w:firstLine="0" w:firstLineChars="0"/>
              <w:jc w:val="left"/>
              <w:rPr>
                <w:rFonts w:hint="eastAsia" w:ascii="仿宋" w:hAnsi="仿宋" w:eastAsia="仿宋" w:cs="仿宋"/>
                <w:color w:val="auto"/>
                <w:highlight w:val="none"/>
                <w:vertAlign w:val="baseline"/>
                <w:lang w:eastAsia="zh-CN"/>
              </w:rPr>
            </w:pPr>
            <w:r>
              <w:rPr>
                <w:rFonts w:hint="eastAsia" w:ascii="仿宋" w:hAnsi="仿宋" w:eastAsia="仿宋" w:cs="仿宋"/>
                <w:color w:val="auto"/>
                <w:kern w:val="0"/>
                <w:sz w:val="24"/>
                <w:szCs w:val="24"/>
                <w:highlight w:val="none"/>
                <w:lang w:bidi="ar"/>
              </w:rPr>
              <w:t>最</w:t>
            </w:r>
            <w:r>
              <w:rPr>
                <w:rFonts w:hint="eastAsia" w:cs="仿宋"/>
                <w:color w:val="auto"/>
                <w:kern w:val="0"/>
                <w:sz w:val="24"/>
                <w:szCs w:val="24"/>
                <w:highlight w:val="none"/>
                <w:lang w:val="en-US" w:eastAsia="zh-CN" w:bidi="ar"/>
              </w:rPr>
              <w:t>低响应</w:t>
            </w:r>
            <w:r>
              <w:rPr>
                <w:rFonts w:hint="eastAsia" w:ascii="仿宋" w:hAnsi="仿宋" w:eastAsia="仿宋" w:cs="仿宋"/>
                <w:color w:val="auto"/>
                <w:kern w:val="0"/>
                <w:sz w:val="24"/>
                <w:szCs w:val="24"/>
                <w:highlight w:val="none"/>
                <w:lang w:bidi="ar"/>
              </w:rPr>
              <w:t>限价为：</w:t>
            </w:r>
            <w:r>
              <w:rPr>
                <w:rFonts w:hint="eastAsia"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270000.00元/年</w:t>
            </w:r>
            <w:r>
              <w:rPr>
                <w:rFonts w:hint="eastAsia" w:cs="仿宋"/>
                <w:color w:val="auto"/>
                <w:kern w:val="0"/>
                <w:sz w:val="24"/>
                <w:szCs w:val="24"/>
                <w:highlight w:val="none"/>
                <w:lang w:eastAsia="zh-CN" w:bidi="ar"/>
              </w:rPr>
              <w:t>，</w:t>
            </w:r>
            <w:r>
              <w:rPr>
                <w:rFonts w:hint="eastAsia" w:cs="仿宋"/>
                <w:color w:val="auto"/>
                <w:kern w:val="0"/>
                <w:sz w:val="24"/>
                <w:szCs w:val="24"/>
                <w:highlight w:val="none"/>
                <w:lang w:val="en-US" w:eastAsia="zh-CN" w:bidi="ar"/>
              </w:rPr>
              <w:t>合计￥</w:t>
            </w:r>
            <w:r>
              <w:rPr>
                <w:rFonts w:hint="eastAsia" w:ascii="仿宋" w:hAnsi="仿宋" w:eastAsia="仿宋" w:cs="仿宋"/>
                <w:color w:val="auto"/>
                <w:highlight w:val="none"/>
              </w:rPr>
              <w:t>1080000.00元</w:t>
            </w:r>
            <w:r>
              <w:rPr>
                <w:rFonts w:hint="eastAsia" w:cs="仿宋"/>
                <w:color w:val="auto"/>
                <w:highlight w:val="none"/>
                <w:lang w:eastAsia="zh-CN"/>
              </w:rPr>
              <w:t>，</w:t>
            </w:r>
            <w:r>
              <w:rPr>
                <w:rFonts w:hint="eastAsia" w:cs="仿宋"/>
                <w:color w:val="auto"/>
                <w:highlight w:val="none"/>
                <w:lang w:val="en-US" w:eastAsia="zh-CN"/>
              </w:rPr>
              <w:t>含税</w:t>
            </w:r>
            <w:r>
              <w:rPr>
                <w:rFonts w:hint="eastAsia" w:cs="仿宋"/>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4</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响应文件有效期</w:t>
            </w:r>
          </w:p>
        </w:tc>
        <w:tc>
          <w:tcPr>
            <w:tcW w:w="6415" w:type="dxa"/>
            <w:vAlign w:val="center"/>
          </w:tcPr>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u w:val="single"/>
                <w:lang w:val="en-US" w:eastAsia="zh-CN" w:bidi="ar"/>
              </w:rPr>
              <w:t xml:space="preserve"> 90</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日历天（从响应文件递交截止日算起）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5</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缔约保证金</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√无须提交。</w:t>
            </w:r>
          </w:p>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须提交：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val="en-US" w:eastAsia="zh-CN" w:bidi="ar"/>
              </w:rPr>
              <w:t>3.</w:t>
            </w:r>
            <w:r>
              <w:rPr>
                <w:rFonts w:hint="eastAsia" w:cs="仿宋"/>
                <w:color w:val="auto"/>
                <w:kern w:val="0"/>
                <w:sz w:val="24"/>
                <w:szCs w:val="24"/>
                <w:highlight w:val="none"/>
                <w:lang w:val="en-US" w:eastAsia="zh-CN" w:bidi="ar"/>
              </w:rPr>
              <w:t>6</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val="en-US" w:eastAsia="zh-CN" w:bidi="ar"/>
              </w:rPr>
              <w:t>报价方式</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1.响应报价方式说明</w:t>
            </w:r>
          </w:p>
          <w:p>
            <w:pPr>
              <w:pStyle w:val="2"/>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（1）本项目采用填报</w:t>
            </w:r>
            <w:r>
              <w:rPr>
                <w:rFonts w:hint="eastAsia" w:cs="仿宋"/>
                <w:color w:val="auto"/>
                <w:kern w:val="0"/>
                <w:sz w:val="24"/>
                <w:szCs w:val="24"/>
                <w:highlight w:val="none"/>
                <w:lang w:val="en-US" w:eastAsia="zh-CN" w:bidi="ar"/>
              </w:rPr>
              <w:t>响应总价的方式</w:t>
            </w:r>
            <w:r>
              <w:rPr>
                <w:rFonts w:hint="eastAsia" w:ascii="仿宋" w:hAnsi="仿宋" w:eastAsia="仿宋" w:cs="仿宋"/>
                <w:color w:val="auto"/>
                <w:kern w:val="0"/>
                <w:sz w:val="24"/>
                <w:szCs w:val="24"/>
                <w:highlight w:val="none"/>
                <w:lang w:val="en-US" w:eastAsia="zh-CN" w:bidi="ar"/>
              </w:rPr>
              <w:t>进行报价，</w:t>
            </w:r>
            <w:r>
              <w:rPr>
                <w:rFonts w:hint="eastAsia" w:cs="仿宋"/>
                <w:color w:val="auto"/>
                <w:kern w:val="0"/>
                <w:sz w:val="24"/>
                <w:szCs w:val="24"/>
                <w:highlight w:val="none"/>
                <w:lang w:val="en-US" w:eastAsia="zh-CN" w:bidi="ar"/>
              </w:rPr>
              <w:t>响应单位</w:t>
            </w:r>
            <w:r>
              <w:rPr>
                <w:rFonts w:hint="eastAsia" w:ascii="仿宋" w:hAnsi="仿宋" w:eastAsia="仿宋" w:cs="仿宋"/>
                <w:color w:val="auto"/>
                <w:kern w:val="0"/>
                <w:sz w:val="24"/>
                <w:szCs w:val="24"/>
                <w:highlight w:val="none"/>
                <w:lang w:val="en-US" w:eastAsia="zh-CN" w:bidi="ar"/>
              </w:rPr>
              <w:t>的响应报价必须等于或</w:t>
            </w:r>
            <w:r>
              <w:rPr>
                <w:rFonts w:hint="eastAsia" w:cs="仿宋"/>
                <w:color w:val="auto"/>
                <w:kern w:val="0"/>
                <w:sz w:val="24"/>
                <w:szCs w:val="24"/>
                <w:highlight w:val="none"/>
                <w:lang w:val="en-US" w:eastAsia="zh-CN" w:bidi="ar"/>
              </w:rPr>
              <w:t>大</w:t>
            </w:r>
            <w:r>
              <w:rPr>
                <w:rFonts w:hint="eastAsia" w:ascii="仿宋" w:hAnsi="仿宋" w:eastAsia="仿宋" w:cs="仿宋"/>
                <w:color w:val="auto"/>
                <w:kern w:val="0"/>
                <w:sz w:val="24"/>
                <w:szCs w:val="24"/>
                <w:highlight w:val="none"/>
                <w:lang w:val="en-US" w:eastAsia="zh-CN" w:bidi="ar"/>
              </w:rPr>
              <w:t>于本项目的最</w:t>
            </w:r>
            <w:r>
              <w:rPr>
                <w:rFonts w:hint="eastAsia" w:cs="仿宋"/>
                <w:color w:val="auto"/>
                <w:kern w:val="0"/>
                <w:sz w:val="24"/>
                <w:szCs w:val="24"/>
                <w:highlight w:val="none"/>
                <w:lang w:val="en-US" w:eastAsia="zh-CN" w:bidi="ar"/>
              </w:rPr>
              <w:t>低响应</w:t>
            </w:r>
            <w:r>
              <w:rPr>
                <w:rFonts w:hint="eastAsia" w:ascii="仿宋" w:hAnsi="仿宋" w:eastAsia="仿宋" w:cs="仿宋"/>
                <w:color w:val="auto"/>
                <w:kern w:val="0"/>
                <w:sz w:val="24"/>
                <w:szCs w:val="24"/>
                <w:highlight w:val="none"/>
                <w:lang w:val="en-US" w:eastAsia="zh-CN" w:bidi="ar"/>
              </w:rPr>
              <w:t>限价，否则其响应将被否决。</w:t>
            </w:r>
          </w:p>
          <w:p>
            <w:pPr>
              <w:pStyle w:val="2"/>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（2）报价应以人民币为结算单位，最终以实际项目结算为准。</w:t>
            </w:r>
          </w:p>
          <w:p>
            <w:pPr>
              <w:pStyle w:val="2"/>
              <w:ind w:firstLine="0" w:firstLineChars="0"/>
              <w:jc w:val="left"/>
              <w:rPr>
                <w:rFonts w:hint="eastAsia"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w:t>
            </w:r>
            <w:r>
              <w:rPr>
                <w:rFonts w:hint="eastAsia" w:cs="仿宋"/>
                <w:color w:val="auto"/>
                <w:kern w:val="0"/>
                <w:sz w:val="24"/>
                <w:szCs w:val="24"/>
                <w:highlight w:val="none"/>
                <w:lang w:val="en-US" w:eastAsia="zh-CN" w:bidi="ar"/>
              </w:rPr>
              <w:t>3</w:t>
            </w:r>
            <w:r>
              <w:rPr>
                <w:rFonts w:hint="eastAsia" w:ascii="仿宋" w:hAnsi="仿宋" w:eastAsia="仿宋" w:cs="仿宋"/>
                <w:color w:val="auto"/>
                <w:kern w:val="0"/>
                <w:sz w:val="24"/>
                <w:szCs w:val="24"/>
                <w:highlight w:val="none"/>
                <w:lang w:val="en-US" w:eastAsia="zh-CN" w:bidi="ar"/>
              </w:rPr>
              <w:t>）</w:t>
            </w:r>
            <w:r>
              <w:rPr>
                <w:rFonts w:hint="eastAsia" w:cs="仿宋"/>
                <w:color w:val="auto"/>
                <w:kern w:val="0"/>
                <w:sz w:val="24"/>
                <w:szCs w:val="24"/>
                <w:highlight w:val="none"/>
                <w:lang w:val="en-US" w:eastAsia="zh-CN" w:bidi="ar"/>
              </w:rPr>
              <w:t>算术错误的修正：</w:t>
            </w:r>
          </w:p>
          <w:p>
            <w:pPr>
              <w:pStyle w:val="2"/>
              <w:ind w:firstLine="0" w:firstLineChars="0"/>
              <w:jc w:val="left"/>
              <w:rPr>
                <w:rFonts w:hint="eastAsia" w:ascii="仿宋" w:hAnsi="仿宋" w:eastAsia="仿宋"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响应报价有算术错误的，按以下原则对响应报价进行修正，修正的价格经响应单位书面确认后具有约束力。响应单位不接受修正价格的，招募方应否决其响应：</w:t>
            </w:r>
          </w:p>
          <w:p>
            <w:pPr>
              <w:numPr>
                <w:ilvl w:val="0"/>
                <w:numId w:val="0"/>
              </w:numP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①响应文件中的大写金额与小写金额不一致的，以大写金额为准。</w:t>
            </w:r>
          </w:p>
          <w:p>
            <w:pPr>
              <w:pStyle w:val="2"/>
              <w:widowControl w:val="0"/>
              <w:ind w:firstLine="0" w:firstLineChars="0"/>
              <w:jc w:val="left"/>
              <w:rPr>
                <w:rFonts w:hint="default" w:ascii="仿宋" w:hAnsi="仿宋" w:eastAsia="仿宋"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②响应报价最多保留两位小数，第三位小数四舍五入。货币单位为人民币元。</w:t>
            </w:r>
          </w:p>
          <w:p>
            <w:pPr>
              <w:pStyle w:val="2"/>
              <w:ind w:firstLine="0" w:firstLineChars="0"/>
              <w:jc w:val="left"/>
              <w:rPr>
                <w:rFonts w:hint="eastAsia" w:ascii="仿宋" w:hAnsi="仿宋" w:eastAsia="仿宋" w:cs="仿宋"/>
                <w:color w:val="auto"/>
                <w:highlight w:val="none"/>
                <w:shd w:val="clear" w:color="FFFFFF" w:fill="D9D9D9"/>
                <w:vertAlign w:val="baseline"/>
                <w:lang w:val="en-US"/>
              </w:rPr>
            </w:pPr>
            <w:r>
              <w:rPr>
                <w:rFonts w:hint="eastAsia" w:ascii="仿宋" w:hAnsi="仿宋" w:eastAsia="仿宋" w:cs="仿宋"/>
                <w:color w:val="auto"/>
                <w:kern w:val="0"/>
                <w:sz w:val="24"/>
                <w:szCs w:val="24"/>
                <w:highlight w:val="none"/>
                <w:lang w:val="en-US" w:eastAsia="zh-CN" w:bidi="ar"/>
              </w:rPr>
              <w:t>注：响应单位在参与项目时，应全面深入了解项目具体情况及当前市场行情，基于充分的市场调研与成本分析，合理且诚实地确定其报价。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7</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响应文件份数</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 xml:space="preserve">纸质文件正本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份，副本 </w:t>
            </w:r>
            <w:r>
              <w:rPr>
                <w:rFonts w:hint="eastAsia" w:cs="仿宋"/>
                <w:color w:val="auto"/>
                <w:kern w:val="0"/>
                <w:sz w:val="24"/>
                <w:szCs w:val="24"/>
                <w:highlight w:val="none"/>
                <w:lang w:val="en-US" w:eastAsia="zh-CN" w:bidi="ar"/>
              </w:rPr>
              <w:t>3</w:t>
            </w:r>
            <w:r>
              <w:rPr>
                <w:rFonts w:hint="eastAsia" w:ascii="仿宋" w:hAnsi="仿宋" w:eastAsia="仿宋" w:cs="仿宋"/>
                <w:color w:val="auto"/>
                <w:kern w:val="0"/>
                <w:sz w:val="24"/>
                <w:szCs w:val="24"/>
                <w:highlight w:val="none"/>
                <w:lang w:bidi="ar"/>
              </w:rPr>
              <w:t xml:space="preserve"> 份，</w:t>
            </w:r>
            <w:r>
              <w:rPr>
                <w:rFonts w:hint="eastAsia" w:ascii="仿宋" w:hAnsi="仿宋" w:eastAsia="仿宋" w:cs="仿宋"/>
                <w:color w:val="auto"/>
                <w:kern w:val="0"/>
                <w:sz w:val="24"/>
                <w:szCs w:val="24"/>
                <w:highlight w:val="none"/>
                <w:lang w:val="en-US" w:eastAsia="zh-CN" w:bidi="ar"/>
              </w:rPr>
              <w:t>电子文件（U盘）</w:t>
            </w: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w:t>
            </w:r>
          </w:p>
          <w:p>
            <w:pPr>
              <w:pStyle w:val="2"/>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（注：①</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文件的副本可以是正本签字盖章后的复印件，但必须清晰可辨；当副本或</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文件电子版与正本不一致时以正本为准。</w:t>
            </w:r>
          </w:p>
          <w:p>
            <w:pPr>
              <w:pStyle w:val="2"/>
              <w:jc w:val="left"/>
              <w:rPr>
                <w:rFonts w:hint="eastAsia"/>
                <w:color w:val="auto"/>
                <w:highlight w:val="none"/>
                <w:lang w:eastAsia="zh-CN"/>
              </w:rPr>
            </w:pPr>
            <w:r>
              <w:rPr>
                <w:rFonts w:hint="eastAsia" w:cs="仿宋"/>
                <w:color w:val="auto"/>
                <w:kern w:val="0"/>
                <w:sz w:val="24"/>
                <w:szCs w:val="24"/>
                <w:highlight w:val="none"/>
                <w:lang w:val="en-US" w:eastAsia="zh-CN" w:bidi="ar"/>
              </w:rPr>
              <w:t>②</w:t>
            </w:r>
            <w:r>
              <w:rPr>
                <w:rFonts w:hint="eastAsia" w:ascii="仿宋" w:hAnsi="仿宋" w:eastAsia="仿宋" w:cs="仿宋"/>
                <w:color w:val="auto"/>
                <w:kern w:val="0"/>
                <w:sz w:val="24"/>
                <w:szCs w:val="24"/>
                <w:highlight w:val="none"/>
                <w:lang w:val="en-US" w:eastAsia="zh-CN" w:bidi="ar"/>
              </w:rPr>
              <w:t>电子文件</w:t>
            </w:r>
            <w:r>
              <w:rPr>
                <w:rFonts w:hint="eastAsia" w:ascii="仿宋" w:hAnsi="仿宋" w:eastAsia="仿宋" w:cs="仿宋"/>
                <w:color w:val="auto"/>
                <w:kern w:val="0"/>
                <w:sz w:val="24"/>
                <w:szCs w:val="24"/>
                <w:highlight w:val="none"/>
                <w:lang w:bidi="ar"/>
              </w:rPr>
              <w:t>以U盘为载体</w:t>
            </w:r>
            <w:r>
              <w:rPr>
                <w:rFonts w:hint="eastAsia" w:cs="仿宋"/>
                <w:color w:val="auto"/>
                <w:kern w:val="0"/>
                <w:sz w:val="24"/>
                <w:szCs w:val="24"/>
                <w:highlight w:val="none"/>
                <w:lang w:val="en-US" w:eastAsia="zh-CN" w:bidi="ar"/>
              </w:rPr>
              <w:t>随纸质文件放进</w:t>
            </w:r>
            <w:r>
              <w:rPr>
                <w:rFonts w:hint="eastAsia" w:cs="仿宋"/>
                <w:color w:val="auto"/>
                <w:kern w:val="0"/>
                <w:sz w:val="24"/>
                <w:szCs w:val="24"/>
                <w:highlight w:val="none"/>
                <w:lang w:eastAsia="zh-CN" w:bidi="ar"/>
              </w:rPr>
              <w:t>响应文件密封袋内</w:t>
            </w:r>
            <w:r>
              <w:rPr>
                <w:rFonts w:hint="eastAsia" w:ascii="仿宋" w:hAnsi="仿宋" w:eastAsia="仿宋" w:cs="仿宋"/>
                <w:color w:val="auto"/>
                <w:kern w:val="0"/>
                <w:sz w:val="24"/>
                <w:szCs w:val="24"/>
                <w:highlight w:val="none"/>
                <w:lang w:bidi="ar"/>
              </w:rPr>
              <w:t>，U盘中</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文件电子版内容为</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文件正本签字盖章后的PDF格式</w:t>
            </w:r>
            <w:r>
              <w:rPr>
                <w:rFonts w:hint="eastAsia" w:ascii="仿宋" w:hAnsi="仿宋" w:eastAsia="仿宋" w:cs="仿宋"/>
                <w:color w:val="auto"/>
                <w:kern w:val="0"/>
                <w:sz w:val="24"/>
                <w:szCs w:val="24"/>
                <w:highlight w:val="none"/>
                <w:lang w:val="en-US" w:eastAsia="zh-CN" w:bidi="ar"/>
              </w:rPr>
              <w:t>和</w:t>
            </w:r>
            <w:r>
              <w:rPr>
                <w:rFonts w:hint="eastAsia" w:ascii="仿宋" w:hAnsi="仿宋" w:eastAsia="仿宋" w:cs="仿宋"/>
                <w:color w:val="auto"/>
                <w:kern w:val="0"/>
                <w:sz w:val="24"/>
                <w:szCs w:val="24"/>
                <w:highlight w:val="none"/>
                <w:lang w:bidi="ar"/>
              </w:rPr>
              <w:t>可编辑的</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文件正本WORD（或EXCEL）格式电子文件。</w:t>
            </w:r>
            <w:r>
              <w:rPr>
                <w:rFonts w:hint="eastAsia"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8</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响应文件的密封和标记</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响应文件采用装订方式，装订应牢固、不易拆散和换页。如文件过厚可分册装订，但必须标明分册顺序。响应文件应在密封处加盖公章，封皮应注明：</w:t>
            </w:r>
          </w:p>
          <w:p>
            <w:pPr>
              <w:pStyle w:val="2"/>
              <w:ind w:firstLine="0" w:firstLineChars="0"/>
              <w:jc w:val="left"/>
              <w:rPr>
                <w:rFonts w:hint="eastAsia" w:ascii="仿宋" w:hAnsi="仿宋" w:eastAsia="仿宋" w:cs="仿宋"/>
                <w:color w:val="auto"/>
                <w:kern w:val="0"/>
                <w:sz w:val="24"/>
                <w:szCs w:val="24"/>
                <w:highlight w:val="none"/>
                <w:u w:val="single"/>
                <w:lang w:bidi="ar"/>
              </w:rPr>
            </w:pPr>
            <w:r>
              <w:rPr>
                <w:rFonts w:hint="eastAsia" w:ascii="仿宋" w:hAnsi="仿宋" w:eastAsia="仿宋" w:cs="仿宋"/>
                <w:color w:val="auto"/>
                <w:kern w:val="0"/>
                <w:sz w:val="24"/>
                <w:szCs w:val="24"/>
                <w:highlight w:val="none"/>
                <w:lang w:bidi="ar"/>
              </w:rPr>
              <w:t xml:space="preserve">  项目名称：</w:t>
            </w:r>
            <w:r>
              <w:rPr>
                <w:rFonts w:hint="eastAsia" w:ascii="仿宋" w:hAnsi="仿宋" w:eastAsia="仿宋" w:cs="仿宋"/>
                <w:color w:val="auto"/>
                <w:kern w:val="0"/>
                <w:sz w:val="24"/>
                <w:szCs w:val="24"/>
                <w:highlight w:val="none"/>
                <w:u w:val="single"/>
                <w:lang w:bidi="ar"/>
              </w:rPr>
              <w:t xml:space="preserve">                                          </w:t>
            </w:r>
          </w:p>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cs="仿宋"/>
                <w:color w:val="auto"/>
                <w:kern w:val="0"/>
                <w:sz w:val="24"/>
                <w:szCs w:val="24"/>
                <w:highlight w:val="none"/>
                <w:lang w:val="en-US" w:eastAsia="zh-CN" w:bidi="ar"/>
              </w:rPr>
              <w:t>响应单位</w:t>
            </w:r>
            <w:r>
              <w:rPr>
                <w:rFonts w:hint="eastAsia" w:ascii="仿宋" w:hAnsi="仿宋" w:eastAsia="仿宋" w:cs="仿宋"/>
                <w:color w:val="auto"/>
                <w:kern w:val="0"/>
                <w:sz w:val="24"/>
                <w:szCs w:val="24"/>
                <w:highlight w:val="none"/>
                <w:lang w:bidi="ar"/>
              </w:rPr>
              <w:t>名称：</w:t>
            </w:r>
            <w:r>
              <w:rPr>
                <w:rFonts w:hint="eastAsia" w:ascii="仿宋" w:hAnsi="仿宋" w:eastAsia="仿宋" w:cs="仿宋"/>
                <w:color w:val="auto"/>
                <w:kern w:val="0"/>
                <w:sz w:val="24"/>
                <w:szCs w:val="24"/>
                <w:highlight w:val="none"/>
                <w:u w:val="single"/>
                <w:lang w:bidi="ar"/>
              </w:rPr>
              <w:t xml:space="preserve">                                        </w:t>
            </w:r>
          </w:p>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cs="仿宋"/>
                <w:color w:val="auto"/>
                <w:kern w:val="0"/>
                <w:sz w:val="24"/>
                <w:szCs w:val="24"/>
                <w:highlight w:val="none"/>
                <w:lang w:val="en-US" w:eastAsia="zh-CN" w:bidi="ar"/>
              </w:rPr>
              <w:t>响应单位</w:t>
            </w:r>
            <w:r>
              <w:rPr>
                <w:rFonts w:hint="eastAsia" w:ascii="仿宋" w:hAnsi="仿宋" w:eastAsia="仿宋" w:cs="仿宋"/>
                <w:color w:val="auto"/>
                <w:kern w:val="0"/>
                <w:sz w:val="24"/>
                <w:szCs w:val="24"/>
                <w:highlight w:val="none"/>
                <w:lang w:bidi="ar"/>
              </w:rPr>
              <w:t>地址：</w:t>
            </w:r>
            <w:r>
              <w:rPr>
                <w:rFonts w:hint="eastAsia" w:ascii="仿宋" w:hAnsi="仿宋" w:eastAsia="仿宋" w:cs="仿宋"/>
                <w:color w:val="auto"/>
                <w:kern w:val="0"/>
                <w:sz w:val="24"/>
                <w:szCs w:val="24"/>
                <w:highlight w:val="none"/>
                <w:u w:val="single"/>
                <w:lang w:bidi="ar"/>
              </w:rPr>
              <w:t xml:space="preserve">                                        </w:t>
            </w:r>
          </w:p>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 xml:space="preserve">  </w:t>
            </w:r>
            <w:r>
              <w:rPr>
                <w:rFonts w:hint="eastAsia" w:cs="仿宋"/>
                <w:color w:val="auto"/>
                <w:kern w:val="0"/>
                <w:sz w:val="24"/>
                <w:szCs w:val="24"/>
                <w:highlight w:val="none"/>
                <w:lang w:val="en-US" w:eastAsia="zh-CN" w:bidi="ar"/>
              </w:rPr>
              <w:t>响应单位</w:t>
            </w:r>
            <w:r>
              <w:rPr>
                <w:rFonts w:hint="eastAsia" w:ascii="仿宋" w:hAnsi="仿宋" w:eastAsia="仿宋" w:cs="仿宋"/>
                <w:color w:val="auto"/>
                <w:kern w:val="0"/>
                <w:sz w:val="24"/>
                <w:szCs w:val="24"/>
                <w:highlight w:val="none"/>
                <w:lang w:bidi="ar"/>
              </w:rPr>
              <w:t>联系人及联系方式：</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tcPr>
          <w:p>
            <w:pP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w:t>
            </w:r>
            <w:r>
              <w:rPr>
                <w:rFonts w:hint="eastAsia" w:cs="仿宋"/>
                <w:color w:val="auto"/>
                <w:kern w:val="0"/>
                <w:sz w:val="24"/>
                <w:szCs w:val="24"/>
                <w:highlight w:val="none"/>
                <w:lang w:val="en-US" w:eastAsia="zh-CN" w:bidi="ar"/>
              </w:rPr>
              <w:t>9</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响应文件提交</w:t>
            </w:r>
          </w:p>
        </w:tc>
        <w:tc>
          <w:tcPr>
            <w:tcW w:w="6415" w:type="dxa"/>
            <w:vAlign w:val="center"/>
          </w:tcPr>
          <w:p>
            <w:pPr>
              <w:pStyle w:val="2"/>
              <w:ind w:firstLine="0" w:firstLineChars="0"/>
              <w:jc w:val="left"/>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bidi="ar"/>
              </w:rPr>
              <w:t>本项目</w:t>
            </w:r>
            <w:r>
              <w:rPr>
                <w:rFonts w:hint="eastAsia" w:ascii="仿宋" w:hAnsi="仿宋" w:eastAsia="仿宋" w:cs="仿宋"/>
                <w:b/>
                <w:bCs/>
                <w:color w:val="auto"/>
                <w:kern w:val="0"/>
                <w:sz w:val="24"/>
                <w:szCs w:val="24"/>
                <w:highlight w:val="none"/>
                <w:lang w:val="en-US" w:eastAsia="zh-CN" w:bidi="ar"/>
              </w:rPr>
              <w:t>采用线下递交响应文件的方式。</w:t>
            </w:r>
          </w:p>
          <w:p>
            <w:pPr>
              <w:pStyle w:val="2"/>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sym w:font="Wingdings" w:char="00A8"/>
            </w:r>
            <w:r>
              <w:rPr>
                <w:rFonts w:hint="eastAsia" w:ascii="仿宋" w:hAnsi="仿宋" w:eastAsia="仿宋" w:cs="仿宋"/>
                <w:color w:val="auto"/>
                <w:kern w:val="0"/>
                <w:sz w:val="24"/>
                <w:szCs w:val="24"/>
                <w:highlight w:val="none"/>
                <w:lang w:val="en-US" w:eastAsia="zh-CN" w:bidi="ar"/>
              </w:rPr>
              <w:t>线上</w:t>
            </w:r>
            <w:r>
              <w:rPr>
                <w:rFonts w:hint="eastAsia" w:ascii="仿宋" w:hAnsi="仿宋" w:eastAsia="仿宋" w:cs="仿宋"/>
                <w:color w:val="auto"/>
                <w:kern w:val="0"/>
                <w:sz w:val="24"/>
                <w:szCs w:val="24"/>
                <w:highlight w:val="none"/>
                <w:lang w:bidi="ar"/>
              </w:rPr>
              <w:t>提交</w:t>
            </w:r>
            <w:r>
              <w:rPr>
                <w:rFonts w:hint="eastAsia" w:ascii="仿宋" w:hAnsi="仿宋" w:eastAsia="仿宋" w:cs="仿宋"/>
                <w:color w:val="auto"/>
                <w:kern w:val="0"/>
                <w:sz w:val="24"/>
                <w:szCs w:val="24"/>
                <w:highlight w:val="none"/>
                <w:lang w:val="en-US" w:eastAsia="zh-CN" w:bidi="ar"/>
              </w:rPr>
              <w:t>盖章版的</w:t>
            </w:r>
            <w:r>
              <w:rPr>
                <w:rFonts w:hint="eastAsia" w:ascii="仿宋" w:hAnsi="仿宋" w:eastAsia="仿宋" w:cs="仿宋"/>
                <w:color w:val="auto"/>
                <w:kern w:val="0"/>
                <w:sz w:val="24"/>
                <w:szCs w:val="24"/>
                <w:highlight w:val="none"/>
                <w:lang w:bidi="ar"/>
              </w:rPr>
              <w:t>响应文件</w:t>
            </w:r>
            <w:r>
              <w:rPr>
                <w:rFonts w:hint="eastAsia" w:ascii="仿宋" w:hAnsi="仿宋" w:eastAsia="仿宋" w:cs="仿宋"/>
                <w:color w:val="auto"/>
                <w:kern w:val="0"/>
                <w:sz w:val="24"/>
                <w:szCs w:val="24"/>
                <w:highlight w:val="none"/>
                <w:lang w:eastAsia="zh-CN" w:bidi="ar"/>
              </w:rPr>
              <w:t>；</w:t>
            </w:r>
          </w:p>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val="en-US" w:eastAsia="zh-CN" w:bidi="ar"/>
              </w:rPr>
              <w:sym w:font="Wingdings" w:char="00FE"/>
            </w:r>
            <w:r>
              <w:rPr>
                <w:rFonts w:hint="eastAsia" w:ascii="仿宋" w:hAnsi="仿宋" w:eastAsia="仿宋" w:cs="仿宋"/>
                <w:color w:val="auto"/>
                <w:kern w:val="0"/>
                <w:sz w:val="24"/>
                <w:szCs w:val="24"/>
                <w:highlight w:val="none"/>
                <w:lang w:val="en-US" w:eastAsia="zh-CN" w:bidi="ar"/>
              </w:rPr>
              <w:t>线下</w:t>
            </w:r>
            <w:r>
              <w:rPr>
                <w:rFonts w:hint="eastAsia" w:ascii="仿宋" w:hAnsi="仿宋" w:eastAsia="仿宋" w:cs="仿宋"/>
                <w:color w:val="auto"/>
                <w:kern w:val="0"/>
                <w:sz w:val="24"/>
                <w:szCs w:val="24"/>
                <w:highlight w:val="none"/>
                <w:lang w:bidi="ar"/>
              </w:rPr>
              <w:t>提交纸质响应文件；响应文件送达地址：</w:t>
            </w:r>
            <w:r>
              <w:rPr>
                <w:rFonts w:hint="eastAsia" w:ascii="仿宋" w:hAnsi="仿宋" w:eastAsia="仿宋" w:cs="仿宋"/>
                <w:color w:val="auto"/>
                <w:kern w:val="0"/>
                <w:sz w:val="24"/>
                <w:szCs w:val="24"/>
                <w:highlight w:val="none"/>
                <w:lang w:val="en-US" w:eastAsia="zh-CN" w:bidi="ar"/>
              </w:rPr>
              <w:t>见</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val="en-US" w:eastAsia="zh-CN" w:bidi="ar"/>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文件开启及</w:t>
            </w:r>
            <w:r>
              <w:rPr>
                <w:rFonts w:hint="eastAsia" w:cs="仿宋"/>
                <w:color w:val="auto"/>
                <w:kern w:val="0"/>
                <w:sz w:val="24"/>
                <w:szCs w:val="24"/>
                <w:highlight w:val="none"/>
                <w:lang w:val="en-US" w:eastAsia="zh-CN" w:bidi="ar"/>
              </w:rPr>
              <w:t>评审</w:t>
            </w: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3.1</w:t>
            </w:r>
            <w:r>
              <w:rPr>
                <w:rFonts w:hint="eastAsia" w:cs="仿宋"/>
                <w:color w:val="auto"/>
                <w:kern w:val="0"/>
                <w:sz w:val="24"/>
                <w:szCs w:val="24"/>
                <w:highlight w:val="none"/>
                <w:lang w:val="en-US" w:eastAsia="zh-CN" w:bidi="ar"/>
              </w:rPr>
              <w:t>0</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响应文件开启会议</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①会议时间：同响应截止时间；</w:t>
            </w:r>
          </w:p>
          <w:p>
            <w:pPr>
              <w:pStyle w:val="2"/>
              <w:ind w:firstLine="0" w:firstLineChars="0"/>
              <w:jc w:val="left"/>
              <w:rPr>
                <w:rFonts w:hint="eastAsia" w:ascii="仿宋" w:hAnsi="仿宋" w:eastAsia="仿宋" w:cs="仿宋"/>
                <w:color w:val="auto"/>
                <w:highlight w:val="none"/>
                <w:vertAlign w:val="baseline"/>
                <w:lang w:eastAsia="zh-CN"/>
              </w:rPr>
            </w:pPr>
            <w:r>
              <w:rPr>
                <w:rFonts w:hint="eastAsia" w:ascii="仿宋" w:hAnsi="仿宋" w:eastAsia="仿宋" w:cs="仿宋"/>
                <w:color w:val="auto"/>
                <w:kern w:val="0"/>
                <w:sz w:val="24"/>
                <w:szCs w:val="24"/>
                <w:highlight w:val="none"/>
                <w:lang w:bidi="ar"/>
              </w:rPr>
              <w:t>②会议地点：</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bidi="ar"/>
              </w:rPr>
              <w:t>公告中指</w:t>
            </w:r>
            <w:r>
              <w:rPr>
                <w:rFonts w:hint="eastAsia" w:ascii="仿宋" w:hAnsi="仿宋" w:eastAsia="仿宋" w:cs="仿宋"/>
                <w:color w:val="auto"/>
                <w:kern w:val="0"/>
                <w:sz w:val="24"/>
                <w:szCs w:val="24"/>
                <w:highlight w:val="none"/>
                <w:lang w:val="en-US" w:eastAsia="zh-CN" w:bidi="ar"/>
              </w:rPr>
              <w:t>定</w:t>
            </w:r>
            <w:r>
              <w:rPr>
                <w:rFonts w:hint="eastAsia" w:ascii="仿宋" w:hAnsi="仿宋" w:eastAsia="仿宋" w:cs="仿宋"/>
                <w:color w:val="auto"/>
                <w:kern w:val="0"/>
                <w:sz w:val="24"/>
                <w:szCs w:val="24"/>
                <w:highlight w:val="none"/>
                <w:lang w:bidi="ar"/>
              </w:rPr>
              <w:t>地点</w:t>
            </w:r>
            <w:r>
              <w:rPr>
                <w:rFonts w:hint="eastAsia"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2"/>
              <w:ind w:firstLine="0" w:firstLineChars="0"/>
              <w:jc w:val="cente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3.1</w:t>
            </w:r>
            <w:r>
              <w:rPr>
                <w:rFonts w:hint="eastAsia" w:cs="仿宋"/>
                <w:color w:val="auto"/>
                <w:kern w:val="0"/>
                <w:sz w:val="24"/>
                <w:szCs w:val="24"/>
                <w:highlight w:val="none"/>
                <w:lang w:val="en-US" w:eastAsia="zh-CN" w:bidi="ar"/>
              </w:rPr>
              <w:t>1</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开启文件前的密封检查</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①密封情况检查顺序</w:t>
            </w:r>
            <w:r>
              <w:rPr>
                <w:rFonts w:hint="eastAsia" w:ascii="仿宋" w:hAnsi="仿宋" w:eastAsia="仿宋" w:cs="仿宋"/>
                <w:color w:val="auto"/>
                <w:kern w:val="0"/>
                <w:sz w:val="24"/>
                <w:szCs w:val="24"/>
                <w:highlight w:val="none"/>
                <w:lang w:eastAsia="zh-CN" w:bidi="ar"/>
              </w:rPr>
              <w:t>：</w:t>
            </w:r>
            <w:r>
              <w:rPr>
                <w:rFonts w:hint="eastAsia" w:cs="仿宋"/>
                <w:color w:val="auto"/>
                <w:kern w:val="0"/>
                <w:sz w:val="24"/>
                <w:szCs w:val="24"/>
                <w:highlight w:val="none"/>
                <w:lang w:val="en-US" w:eastAsia="zh-CN" w:bidi="ar"/>
              </w:rPr>
              <w:t>按</w:t>
            </w:r>
            <w:r>
              <w:rPr>
                <w:rFonts w:hint="eastAsia" w:ascii="仿宋" w:hAnsi="仿宋" w:eastAsia="仿宋" w:cs="仿宋"/>
                <w:color w:val="auto"/>
                <w:kern w:val="0"/>
                <w:sz w:val="24"/>
                <w:szCs w:val="24"/>
                <w:highlight w:val="none"/>
                <w:lang w:eastAsia="zh-CN" w:bidi="ar"/>
              </w:rPr>
              <w:t>递交</w:t>
            </w:r>
            <w:r>
              <w:rPr>
                <w:rFonts w:hint="eastAsia"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eastAsia="zh-CN" w:bidi="ar"/>
              </w:rPr>
              <w:t>文件顺序</w:t>
            </w:r>
          </w:p>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②文件开启顺序：</w:t>
            </w:r>
            <w:r>
              <w:rPr>
                <w:rFonts w:hint="eastAsia" w:ascii="仿宋" w:hAnsi="仿宋" w:eastAsia="仿宋" w:cs="仿宋"/>
                <w:color w:val="auto"/>
                <w:kern w:val="0"/>
                <w:sz w:val="24"/>
                <w:szCs w:val="24"/>
                <w:highlight w:val="none"/>
                <w:lang w:eastAsia="zh-CN" w:bidi="ar"/>
              </w:rPr>
              <w:t>递交</w:t>
            </w:r>
            <w:r>
              <w:rPr>
                <w:rFonts w:hint="eastAsia"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eastAsia="zh-CN" w:bidi="ar"/>
              </w:rPr>
              <w:t>文件顺序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2"/>
              <w:ind w:firstLine="0" w:firstLineChars="0"/>
              <w:jc w:val="cente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3.1</w:t>
            </w:r>
            <w:r>
              <w:rPr>
                <w:rFonts w:hint="eastAsia" w:cs="仿宋"/>
                <w:color w:val="auto"/>
                <w:kern w:val="0"/>
                <w:sz w:val="24"/>
                <w:szCs w:val="24"/>
                <w:highlight w:val="none"/>
                <w:lang w:val="en-US" w:eastAsia="zh-CN" w:bidi="ar"/>
              </w:rPr>
              <w:t>2</w:t>
            </w:r>
          </w:p>
        </w:tc>
        <w:tc>
          <w:tcPr>
            <w:tcW w:w="1489" w:type="dxa"/>
            <w:vAlign w:val="center"/>
          </w:tcPr>
          <w:p>
            <w:pPr>
              <w:pStyle w:val="2"/>
              <w:ind w:firstLine="0" w:firstLineChars="0"/>
              <w:jc w:val="center"/>
              <w:rPr>
                <w:rFonts w:hint="default" w:ascii="仿宋" w:hAnsi="仿宋" w:eastAsia="仿宋"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评审小组</w:t>
            </w:r>
          </w:p>
        </w:tc>
        <w:tc>
          <w:tcPr>
            <w:tcW w:w="6415" w:type="dxa"/>
            <w:vAlign w:val="center"/>
          </w:tcPr>
          <w:p>
            <w:pPr>
              <w:pStyle w:val="2"/>
              <w:ind w:firstLine="0" w:firstLineChars="0"/>
              <w:jc w:val="left"/>
              <w:rPr>
                <w:rFonts w:hint="default" w:ascii="仿宋" w:hAnsi="仿宋" w:eastAsia="仿宋"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由招募方按公司制度组建。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2"/>
              <w:ind w:firstLine="0" w:firstLineChars="0"/>
              <w:jc w:val="cente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3.1</w:t>
            </w:r>
            <w:r>
              <w:rPr>
                <w:rFonts w:hint="eastAsia" w:cs="仿宋"/>
                <w:color w:val="auto"/>
                <w:kern w:val="0"/>
                <w:sz w:val="24"/>
                <w:szCs w:val="24"/>
                <w:highlight w:val="none"/>
                <w:lang w:val="en-US" w:eastAsia="zh-CN" w:bidi="ar"/>
              </w:rPr>
              <w:t>3</w:t>
            </w:r>
          </w:p>
        </w:tc>
        <w:tc>
          <w:tcPr>
            <w:tcW w:w="1489" w:type="dxa"/>
            <w:vAlign w:val="center"/>
          </w:tcPr>
          <w:p>
            <w:pPr>
              <w:pStyle w:val="2"/>
              <w:ind w:firstLine="0" w:firstLineChars="0"/>
              <w:jc w:val="center"/>
              <w:rPr>
                <w:rFonts w:hint="default" w:ascii="仿宋" w:hAnsi="仿宋" w:eastAsia="仿宋" w:cs="仿宋"/>
                <w:color w:val="auto"/>
                <w:kern w:val="0"/>
                <w:sz w:val="24"/>
                <w:szCs w:val="24"/>
                <w:highlight w:val="none"/>
                <w:lang w:val="en-US" w:bidi="ar"/>
              </w:rPr>
            </w:pPr>
            <w:r>
              <w:rPr>
                <w:rFonts w:hint="eastAsia" w:cs="仿宋"/>
                <w:color w:val="auto"/>
                <w:kern w:val="0"/>
                <w:sz w:val="24"/>
                <w:szCs w:val="24"/>
                <w:highlight w:val="none"/>
                <w:lang w:val="en-US" w:eastAsia="zh-CN" w:bidi="ar"/>
              </w:rPr>
              <w:t>评审办法</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bidi="ar"/>
              </w:rPr>
            </w:pPr>
            <w:r>
              <w:rPr>
                <w:rFonts w:hint="eastAsia" w:cs="仿宋"/>
                <w:color w:val="auto"/>
                <w:kern w:val="0"/>
                <w:sz w:val="24"/>
                <w:szCs w:val="24"/>
                <w:highlight w:val="none"/>
                <w:lang w:val="en-US" w:eastAsia="zh-CN" w:bidi="ar"/>
              </w:rPr>
              <w:t>详见第五章评审办法有关条款</w:t>
            </w:r>
            <w:r>
              <w:rPr>
                <w:rFonts w:hint="eastAsia" w:ascii="仿宋" w:hAnsi="仿宋" w:eastAsia="仿宋" w:cs="仿宋"/>
                <w:color w:val="auto"/>
                <w:kern w:val="0"/>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vAlign w:val="center"/>
          </w:tcPr>
          <w:p>
            <w:pPr>
              <w:pStyle w:val="2"/>
              <w:ind w:firstLine="0" w:firstLineChars="0"/>
              <w:jc w:val="center"/>
              <w:rPr>
                <w:rFonts w:hint="eastAsia" w:ascii="仿宋" w:hAnsi="仿宋" w:eastAsia="仿宋" w:cs="仿宋"/>
                <w:color w:val="auto"/>
                <w:highlight w:val="none"/>
                <w:vertAlign w:val="baseline"/>
              </w:rPr>
            </w:pPr>
          </w:p>
        </w:tc>
        <w:tc>
          <w:tcPr>
            <w:tcW w:w="855" w:type="dxa"/>
            <w:vAlign w:val="center"/>
          </w:tcPr>
          <w:p>
            <w:pPr>
              <w:pStyle w:val="2"/>
              <w:ind w:firstLine="0" w:firstLineChars="0"/>
              <w:jc w:val="center"/>
              <w:rPr>
                <w:rFonts w:hint="default" w:ascii="仿宋" w:hAnsi="仿宋" w:eastAsia="仿宋" w:cs="仿宋"/>
                <w:color w:val="auto"/>
                <w:highlight w:val="none"/>
                <w:vertAlign w:val="baseline"/>
                <w:lang w:val="en-US"/>
              </w:rPr>
            </w:pPr>
            <w:r>
              <w:rPr>
                <w:rFonts w:hint="eastAsia" w:ascii="仿宋" w:hAnsi="仿宋" w:eastAsia="仿宋" w:cs="仿宋"/>
                <w:color w:val="auto"/>
                <w:kern w:val="0"/>
                <w:sz w:val="24"/>
                <w:szCs w:val="24"/>
                <w:highlight w:val="none"/>
                <w:lang w:bidi="ar"/>
              </w:rPr>
              <w:t>3.1</w:t>
            </w:r>
            <w:r>
              <w:rPr>
                <w:rFonts w:hint="eastAsia" w:cs="仿宋"/>
                <w:color w:val="auto"/>
                <w:kern w:val="0"/>
                <w:sz w:val="24"/>
                <w:szCs w:val="24"/>
                <w:highlight w:val="none"/>
                <w:lang w:val="en-US" w:eastAsia="zh-CN" w:bidi="ar"/>
              </w:rPr>
              <w:t>4</w:t>
            </w:r>
          </w:p>
        </w:tc>
        <w:tc>
          <w:tcPr>
            <w:tcW w:w="1489" w:type="dxa"/>
            <w:vAlign w:val="center"/>
          </w:tcPr>
          <w:p>
            <w:pPr>
              <w:pStyle w:val="2"/>
              <w:ind w:firstLine="0" w:firstLineChars="0"/>
              <w:jc w:val="center"/>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成交候选人</w:t>
            </w:r>
          </w:p>
        </w:tc>
        <w:tc>
          <w:tcPr>
            <w:tcW w:w="6415" w:type="dxa"/>
            <w:vAlign w:val="center"/>
          </w:tcPr>
          <w:p>
            <w:pPr>
              <w:pStyle w:val="2"/>
              <w:ind w:firstLine="0" w:firstLineChars="0"/>
              <w:jc w:val="left"/>
              <w:rPr>
                <w:rFonts w:hint="eastAsia" w:ascii="仿宋" w:hAnsi="仿宋" w:eastAsia="仿宋" w:cs="仿宋"/>
                <w:color w:val="auto"/>
                <w:kern w:val="0"/>
                <w:sz w:val="24"/>
                <w:szCs w:val="24"/>
                <w:highlight w:val="none"/>
                <w:lang w:eastAsia="zh-CN" w:bidi="ar"/>
              </w:rPr>
            </w:pPr>
            <w:r>
              <w:rPr>
                <w:rFonts w:hint="eastAsia" w:cs="仿宋"/>
                <w:color w:val="auto"/>
                <w:kern w:val="0"/>
                <w:sz w:val="24"/>
                <w:szCs w:val="24"/>
                <w:highlight w:val="none"/>
                <w:lang w:val="en-US" w:eastAsia="zh-CN" w:bidi="ar"/>
              </w:rPr>
              <w:t>评审小组推荐</w:t>
            </w:r>
            <w:r>
              <w:rPr>
                <w:rFonts w:hint="eastAsia" w:cs="仿宋"/>
                <w:color w:val="auto"/>
                <w:kern w:val="0"/>
                <w:sz w:val="24"/>
                <w:szCs w:val="24"/>
                <w:highlight w:val="none"/>
                <w:u w:val="single"/>
                <w:lang w:val="en-US" w:eastAsia="zh-CN" w:bidi="ar"/>
              </w:rPr>
              <w:t>1</w:t>
            </w:r>
            <w:r>
              <w:rPr>
                <w:rFonts w:hint="eastAsia" w:ascii="仿宋" w:hAnsi="仿宋" w:eastAsia="仿宋" w:cs="仿宋"/>
                <w:color w:val="auto"/>
                <w:kern w:val="0"/>
                <w:sz w:val="24"/>
                <w:szCs w:val="24"/>
                <w:highlight w:val="none"/>
                <w:lang w:bidi="ar"/>
              </w:rPr>
              <w:t>名</w:t>
            </w:r>
            <w:r>
              <w:rPr>
                <w:rFonts w:hint="eastAsia" w:ascii="仿宋" w:hAnsi="仿宋" w:eastAsia="仿宋" w:cs="仿宋"/>
                <w:color w:val="auto"/>
                <w:kern w:val="0"/>
                <w:sz w:val="24"/>
                <w:szCs w:val="24"/>
                <w:highlight w:val="none"/>
                <w:lang w:val="en-US" w:eastAsia="zh-CN" w:bidi="ar"/>
              </w:rPr>
              <w:t>成交</w:t>
            </w:r>
            <w:r>
              <w:rPr>
                <w:rFonts w:hint="eastAsia" w:ascii="仿宋" w:hAnsi="仿宋" w:eastAsia="仿宋" w:cs="仿宋"/>
                <w:color w:val="auto"/>
                <w:kern w:val="0"/>
                <w:sz w:val="24"/>
                <w:szCs w:val="24"/>
                <w:highlight w:val="none"/>
                <w:lang w:bidi="ar"/>
              </w:rPr>
              <w:t>候选人</w:t>
            </w:r>
            <w:r>
              <w:rPr>
                <w:rFonts w:hint="eastAsia" w:ascii="仿宋" w:hAnsi="仿宋" w:eastAsia="仿宋" w:cs="仿宋"/>
                <w:color w:val="auto"/>
                <w:kern w:val="0"/>
                <w:sz w:val="24"/>
                <w:szCs w:val="24"/>
                <w:highlight w:val="none"/>
                <w:lang w:eastAsia="zh-CN" w:bidi="ar"/>
              </w:rPr>
              <w:t>；</w:t>
            </w:r>
          </w:p>
          <w:p>
            <w:pPr>
              <w:pStyle w:val="2"/>
              <w:ind w:firstLine="0" w:firstLineChars="0"/>
              <w:jc w:val="left"/>
              <w:rPr>
                <w:rFonts w:hint="eastAsia" w:ascii="仿宋" w:hAnsi="仿宋" w:eastAsia="仿宋" w:cs="仿宋"/>
                <w:color w:val="auto"/>
                <w:highlight w:val="none"/>
                <w:vertAlign w:val="baseline"/>
              </w:rPr>
            </w:pPr>
            <w:r>
              <w:rPr>
                <w:rFonts w:hint="eastAsia" w:ascii="仿宋" w:hAnsi="仿宋" w:eastAsia="仿宋" w:cs="仿宋"/>
                <w:color w:val="auto"/>
                <w:kern w:val="0"/>
                <w:sz w:val="24"/>
                <w:szCs w:val="24"/>
                <w:highlight w:val="none"/>
                <w:lang w:bidi="ar"/>
              </w:rPr>
              <w:t>公示媒介：</w:t>
            </w:r>
            <w:r>
              <w:rPr>
                <w:rFonts w:hint="eastAsia" w:ascii="仿宋" w:hAnsi="仿宋" w:eastAsia="仿宋" w:cs="仿宋"/>
                <w:color w:val="auto"/>
                <w:kern w:val="0"/>
                <w:sz w:val="24"/>
                <w:szCs w:val="24"/>
                <w:highlight w:val="none"/>
                <w:lang w:val="en-US" w:eastAsia="zh-CN" w:bidi="ar"/>
              </w:rPr>
              <w:t>见</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val="en-US" w:eastAsia="zh-CN" w:bidi="ar"/>
              </w:rPr>
              <w:t>公告“发布媒介”</w:t>
            </w:r>
          </w:p>
        </w:tc>
      </w:tr>
    </w:tbl>
    <w:p>
      <w:pPr>
        <w:rPr>
          <w:rFonts w:hint="eastAsia" w:ascii="仿宋" w:hAnsi="仿宋" w:eastAsia="仿宋" w:cs="仿宋"/>
          <w:b w:val="0"/>
          <w:color w:val="auto"/>
          <w:kern w:val="2"/>
          <w:sz w:val="24"/>
          <w:szCs w:val="24"/>
          <w:highlight w:val="none"/>
          <w:lang w:val="en-US" w:eastAsia="zh-CN" w:bidi="ar-SA"/>
        </w:rPr>
      </w:pPr>
    </w:p>
    <w:p>
      <w:pPr>
        <w:rPr>
          <w:rFonts w:hint="eastAsia" w:ascii="仿宋" w:hAnsi="仿宋" w:eastAsia="仿宋" w:cs="仿宋"/>
          <w:b w:val="0"/>
          <w:color w:val="auto"/>
          <w:kern w:val="2"/>
          <w:sz w:val="24"/>
          <w:szCs w:val="24"/>
          <w:highlight w:val="none"/>
          <w:lang w:val="en-US" w:eastAsia="zh-CN" w:bidi="ar-SA"/>
        </w:rPr>
      </w:pPr>
    </w:p>
    <w:p>
      <w:pPr>
        <w:rPr>
          <w:rFonts w:hint="eastAsia" w:ascii="仿宋" w:hAnsi="仿宋" w:eastAsia="仿宋" w:cs="仿宋"/>
          <w:b w:val="0"/>
          <w:color w:val="auto"/>
          <w:kern w:val="2"/>
          <w:sz w:val="24"/>
          <w:szCs w:val="24"/>
          <w:highlight w:val="none"/>
          <w:lang w:val="en-US" w:eastAsia="zh-CN" w:bidi="ar-SA"/>
        </w:rPr>
      </w:pPr>
    </w:p>
    <w:p>
      <w:pPr>
        <w:pStyle w:val="4"/>
        <w:numPr>
          <w:ilvl w:val="1"/>
          <w:numId w:val="0"/>
        </w:numPr>
        <w:tabs>
          <w:tab w:val="left" w:pos="0"/>
        </w:tabs>
        <w:spacing w:beforeLines="0" w:afterLines="0" w:line="360" w:lineRule="auto"/>
        <w:ind w:firstLine="480" w:firstLineChars="200"/>
        <w:rPr>
          <w:rFonts w:hint="eastAsia" w:ascii="仿宋" w:hAnsi="仿宋" w:eastAsia="仿宋" w:cs="仿宋"/>
          <w:b w:val="0"/>
          <w:color w:val="auto"/>
          <w:sz w:val="24"/>
          <w:szCs w:val="24"/>
          <w:highlight w:val="none"/>
          <w:lang w:val="en-US" w:eastAsia="zh-CN"/>
        </w:rPr>
      </w:pPr>
      <w:r>
        <w:rPr>
          <w:rFonts w:hint="eastAsia" w:ascii="仿宋" w:hAnsi="仿宋" w:eastAsia="仿宋" w:cs="仿宋"/>
          <w:b w:val="0"/>
          <w:color w:val="auto"/>
          <w:kern w:val="2"/>
          <w:sz w:val="24"/>
          <w:szCs w:val="24"/>
          <w:highlight w:val="none"/>
          <w:lang w:val="en-US" w:eastAsia="zh-CN" w:bidi="ar-SA"/>
        </w:rPr>
        <w:t>4.招募程序</w:t>
      </w:r>
    </w:p>
    <w:tbl>
      <w:tblPr>
        <w:tblStyle w:val="27"/>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651"/>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1031" w:type="dxa"/>
            <w:vMerge w:val="restart"/>
            <w:vAlign w:val="center"/>
          </w:tcPr>
          <w:p>
            <w:pPr>
              <w:ind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招募</w:t>
            </w:r>
          </w:p>
          <w:p>
            <w:pPr>
              <w:ind w:firstLine="0" w:firstLineChars="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程序</w:t>
            </w: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4.1</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准备</w:t>
            </w:r>
          </w:p>
        </w:tc>
        <w:tc>
          <w:tcPr>
            <w:tcW w:w="7001" w:type="dxa"/>
            <w:vAlign w:val="center"/>
          </w:tcPr>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4.1.1响应单位提交首次响应文件截止时间详见招募公告。</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4.1.2在招募文件约定的时间、地点，响应单位应向招募方递交响应文件。响应文件按照响应单位须知3.8的要求密封，按照3.9的规定提交。</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4.1.3资格审查执行响应单位须知1的规定。</w:t>
            </w:r>
          </w:p>
          <w:p>
            <w:pPr>
              <w:ind w:firstLine="0" w:firstLine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4.1.4递交响应文件少于拟定成交人数量三倍时：可照常进行。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val="en-US" w:eastAsia="zh-CN"/>
              </w:rPr>
            </w:pPr>
          </w:p>
        </w:tc>
        <w:tc>
          <w:tcPr>
            <w:tcW w:w="1651" w:type="dxa"/>
            <w:vAlign w:val="center"/>
          </w:tcPr>
          <w:p>
            <w:pPr>
              <w:ind w:firstLine="0" w:firstLine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4.2开启响应文件</w:t>
            </w:r>
          </w:p>
        </w:tc>
        <w:tc>
          <w:tcPr>
            <w:tcW w:w="7001" w:type="dxa"/>
            <w:vAlign w:val="center"/>
          </w:tcPr>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4.2.1宣布递交响应文件时间截止后，将不再接收任何响应文件。</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4.2.2开启前，由递交响应文件顺序的前三名响应单位代表全体响应单位对全部响应文件的密封情况进行当众检查。经检查未按要求密封的响应文件不予启封并现场退还。</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4.2.3招募人对经检查密封完好的响应文件进行启封唱读。</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4.2.4招募人将记录唱读内容，并当场公布。开启记录由唱读人、响应单位代表和有关人员共同签字确认。如唱读内容与响应文件不一致时，响应单位代表须当场提出，否则视为接受并同意开启记录。</w:t>
            </w:r>
          </w:p>
          <w:p>
            <w:pPr>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4.2.5招募方</w:t>
            </w: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退还开</w:t>
            </w:r>
            <w:r>
              <w:rPr>
                <w:rFonts w:hint="eastAsia" w:ascii="仿宋" w:hAnsi="仿宋" w:eastAsia="仿宋" w:cs="仿宋"/>
                <w:color w:val="auto"/>
                <w:sz w:val="24"/>
                <w:szCs w:val="24"/>
                <w:highlight w:val="none"/>
                <w:lang w:val="en-US" w:eastAsia="zh-CN"/>
              </w:rPr>
              <w:t>启</w:t>
            </w:r>
            <w:r>
              <w:rPr>
                <w:rFonts w:hint="eastAsia" w:ascii="仿宋" w:hAnsi="仿宋" w:eastAsia="仿宋" w:cs="仿宋"/>
                <w:color w:val="auto"/>
                <w:sz w:val="24"/>
                <w:szCs w:val="24"/>
                <w:highlight w:val="none"/>
              </w:rPr>
              <w:t>拆封后的</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w:t>
            </w:r>
            <w:r>
              <w:rPr>
                <w:rFonts w:hint="eastAsia" w:ascii="仿宋" w:hAnsi="仿宋" w:eastAsia="仿宋" w:cs="仿宋"/>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val="en-US" w:eastAsia="zh-CN"/>
              </w:rPr>
            </w:pPr>
          </w:p>
        </w:tc>
        <w:tc>
          <w:tcPr>
            <w:tcW w:w="1651" w:type="dxa"/>
            <w:vAlign w:val="center"/>
          </w:tcPr>
          <w:p>
            <w:pPr>
              <w:ind w:firstLine="0" w:firstLine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4.3评审程序</w:t>
            </w:r>
          </w:p>
        </w:tc>
        <w:tc>
          <w:tcPr>
            <w:tcW w:w="700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评审小组根据第五章评审办法中的评审因素及评审标准对应响应文件进行评审，并对通过初步评审的有效响应单位进行详细评审，按照响应单位综合得分由高到低的原则推荐1名成交候选人。综合评分相等时，以响应报价较高的优先；如果响应报价相同，则技术得分较高的响应单位排序优先。按上述环节依然存在同分情形而不能确定排名顺序时，有评审小组投票决定排名顺序</w:t>
            </w:r>
            <w:r>
              <w:rPr>
                <w:rFonts w:hint="eastAsia" w:ascii="仿宋" w:hAnsi="仿宋" w:eastAsia="仿宋" w:cs="仿宋"/>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rPr>
            </w:pPr>
          </w:p>
        </w:tc>
        <w:tc>
          <w:tcPr>
            <w:tcW w:w="1651" w:type="dxa"/>
            <w:vAlign w:val="center"/>
          </w:tcPr>
          <w:p>
            <w:pPr>
              <w:ind w:firstLine="0" w:firstLine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4.4评审办法</w:t>
            </w:r>
          </w:p>
        </w:tc>
        <w:tc>
          <w:tcPr>
            <w:tcW w:w="700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auto"/>
                <w:lang w:val="en-US" w:eastAsia="zh-CN"/>
              </w:rPr>
              <w:t>综合评估法，评审小组对通过初步评审的有效响应单位进行详细评审，按照响应单位综合得分</w:t>
            </w:r>
            <w:r>
              <w:rPr>
                <w:rFonts w:hint="eastAsia" w:ascii="仿宋" w:hAnsi="仿宋" w:eastAsia="仿宋" w:cs="仿宋"/>
                <w:color w:val="auto"/>
                <w:sz w:val="24"/>
                <w:szCs w:val="24"/>
                <w:highlight w:val="none"/>
                <w:lang w:val="en-US" w:eastAsia="zh-CN"/>
              </w:rPr>
              <w:t>由高到低的原则推荐1名成交候选人</w:t>
            </w:r>
            <w:r>
              <w:rPr>
                <w:rFonts w:hint="eastAsia" w:ascii="仿宋" w:hAnsi="仿宋" w:eastAsia="仿宋" w:cs="仿宋"/>
                <w:color w:val="auto"/>
                <w:sz w:val="24"/>
                <w:szCs w:val="24"/>
                <w:highlight w:val="none"/>
                <w:shd w:val="clear" w:color="auto" w:fill="auto"/>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val="en-US" w:eastAsia="zh-CN"/>
              </w:rPr>
            </w:pP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4.5</w:t>
            </w:r>
            <w:r>
              <w:rPr>
                <w:rFonts w:hint="eastAsia" w:ascii="仿宋" w:hAnsi="仿宋" w:eastAsia="仿宋" w:cs="仿宋"/>
                <w:color w:val="auto"/>
                <w:sz w:val="24"/>
                <w:szCs w:val="24"/>
                <w:highlight w:val="none"/>
              </w:rPr>
              <w:t>特别规定</w:t>
            </w:r>
          </w:p>
        </w:tc>
        <w:tc>
          <w:tcPr>
            <w:tcW w:w="7001" w:type="dxa"/>
            <w:vAlign w:val="center"/>
          </w:tcPr>
          <w:p>
            <w:pPr>
              <w:spacing w:line="240" w:lineRule="auto"/>
              <w:ind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活动中允许</w:t>
            </w:r>
            <w:r>
              <w:rPr>
                <w:rFonts w:hint="eastAsia" w:ascii="仿宋" w:hAnsi="仿宋" w:eastAsia="仿宋" w:cs="仿宋"/>
                <w:color w:val="auto"/>
                <w:sz w:val="24"/>
                <w:szCs w:val="24"/>
                <w:highlight w:val="none"/>
                <w:lang w:eastAsia="zh-CN"/>
              </w:rPr>
              <w:t>响应单位</w:t>
            </w:r>
            <w:r>
              <w:rPr>
                <w:rFonts w:hint="eastAsia" w:ascii="仿宋" w:hAnsi="仿宋" w:eastAsia="仿宋" w:cs="仿宋"/>
                <w:color w:val="auto"/>
                <w:sz w:val="24"/>
                <w:szCs w:val="24"/>
                <w:highlight w:val="none"/>
              </w:rPr>
              <w:t>退出</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rPr>
              <w:t>活动，并可以在发出成交通知书</w:t>
            </w:r>
            <w:r>
              <w:rPr>
                <w:rFonts w:hint="eastAsia" w:ascii="仿宋" w:hAnsi="仿宋" w:eastAsia="仿宋" w:cs="仿宋"/>
                <w:color w:val="auto"/>
                <w:sz w:val="24"/>
                <w:szCs w:val="24"/>
                <w:highlight w:val="none"/>
                <w:lang w:val="en-US" w:eastAsia="zh-CN"/>
              </w:rPr>
              <w:t>5个工作</w:t>
            </w:r>
            <w:r>
              <w:rPr>
                <w:rFonts w:hint="eastAsia" w:ascii="仿宋" w:hAnsi="仿宋" w:eastAsia="仿宋" w:cs="仿宋"/>
                <w:color w:val="auto"/>
                <w:sz w:val="24"/>
                <w:szCs w:val="24"/>
                <w:highlight w:val="none"/>
              </w:rPr>
              <w:t>日内退还缔约保证金（如有）。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rPr>
            </w:pP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4.6</w:t>
            </w:r>
            <w:r>
              <w:rPr>
                <w:rFonts w:hint="eastAsia" w:ascii="仿宋" w:hAnsi="仿宋" w:eastAsia="仿宋" w:cs="仿宋"/>
                <w:color w:val="auto"/>
                <w:sz w:val="24"/>
                <w:szCs w:val="24"/>
                <w:highlight w:val="none"/>
              </w:rPr>
              <w:t>成交规则</w:t>
            </w:r>
          </w:p>
        </w:tc>
        <w:tc>
          <w:tcPr>
            <w:tcW w:w="700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由评审小组根据综合得分排序</w:t>
            </w:r>
            <w:r>
              <w:rPr>
                <w:rFonts w:hint="eastAsia" w:ascii="仿宋" w:hAnsi="仿宋" w:eastAsia="仿宋" w:cs="仿宋"/>
                <w:color w:val="auto"/>
                <w:sz w:val="24"/>
                <w:szCs w:val="24"/>
                <w:highlight w:val="none"/>
              </w:rPr>
              <w:t>确定成交人。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eastAsia="zh-CN"/>
              </w:rPr>
            </w:pP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4.7</w:t>
            </w:r>
            <w:r>
              <w:rPr>
                <w:rFonts w:hint="eastAsia" w:ascii="仿宋" w:hAnsi="仿宋" w:eastAsia="仿宋" w:cs="仿宋"/>
                <w:color w:val="auto"/>
                <w:sz w:val="24"/>
                <w:szCs w:val="24"/>
                <w:highlight w:val="none"/>
              </w:rPr>
              <w:t>成交候选人公示</w:t>
            </w:r>
          </w:p>
        </w:tc>
        <w:tc>
          <w:tcPr>
            <w:tcW w:w="700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sym w:font="Wingdings" w:char="00FE"/>
            </w:r>
            <w:r>
              <w:rPr>
                <w:rFonts w:hint="eastAsia" w:ascii="仿宋" w:hAnsi="仿宋" w:eastAsia="仿宋" w:cs="仿宋"/>
                <w:color w:val="auto"/>
                <w:sz w:val="24"/>
                <w:szCs w:val="24"/>
                <w:highlight w:val="none"/>
              </w:rPr>
              <w:t xml:space="preserve">在 </w:t>
            </w:r>
            <w:r>
              <w:rPr>
                <w:rFonts w:hint="eastAsia" w:ascii="仿宋" w:hAnsi="仿宋" w:eastAsia="仿宋" w:cs="Tahoma"/>
                <w:color w:val="auto"/>
                <w:kern w:val="0"/>
                <w:sz w:val="24"/>
                <w:szCs w:val="24"/>
                <w:highlight w:val="none"/>
                <w:lang w:val="en-US" w:eastAsia="zh-CN"/>
              </w:rPr>
              <w:t>佛山市顺德区公共资源交易中心平台、广东顺铁控股有限公司网站</w:t>
            </w:r>
            <w:r>
              <w:rPr>
                <w:rFonts w:hint="eastAsia" w:ascii="仿宋" w:hAnsi="仿宋" w:eastAsia="仿宋" w:cs="仿宋"/>
                <w:color w:val="auto"/>
                <w:sz w:val="24"/>
                <w:szCs w:val="24"/>
                <w:highlight w:val="none"/>
              </w:rPr>
              <w:t>公示成交</w:t>
            </w:r>
            <w:r>
              <w:rPr>
                <w:rFonts w:hint="eastAsia" w:ascii="仿宋" w:hAnsi="仿宋" w:eastAsia="仿宋" w:cs="仿宋"/>
                <w:color w:val="auto"/>
                <w:sz w:val="24"/>
                <w:szCs w:val="24"/>
                <w:highlight w:val="none"/>
                <w:lang w:eastAsia="zh-CN"/>
              </w:rPr>
              <w:t>响应单位</w:t>
            </w:r>
            <w:r>
              <w:rPr>
                <w:rFonts w:hint="eastAsia" w:ascii="仿宋" w:hAnsi="仿宋" w:eastAsia="仿宋" w:cs="仿宋"/>
                <w:color w:val="auto"/>
                <w:sz w:val="24"/>
                <w:szCs w:val="24"/>
                <w:highlight w:val="none"/>
              </w:rPr>
              <w:t>名单。</w:t>
            </w:r>
          </w:p>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公示期为</w:t>
            </w:r>
            <w:r>
              <w:rPr>
                <w:rFonts w:hint="eastAsia" w:ascii="仿宋" w:hAnsi="仿宋" w:eastAsia="仿宋" w:cs="仿宋"/>
                <w:color w:val="auto"/>
                <w:sz w:val="24"/>
                <w:szCs w:val="24"/>
                <w:highlight w:val="none"/>
                <w:lang w:val="en-US" w:eastAsia="zh-CN"/>
              </w:rPr>
              <w:t>1 个工作日</w:t>
            </w:r>
            <w:r>
              <w:rPr>
                <w:rFonts w:hint="eastAsia" w:ascii="仿宋" w:hAnsi="仿宋" w:eastAsia="仿宋" w:cs="仿宋"/>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eastAsia="zh-CN"/>
              </w:rPr>
            </w:pP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4.8</w:t>
            </w:r>
            <w:r>
              <w:rPr>
                <w:rFonts w:hint="eastAsia" w:ascii="仿宋" w:hAnsi="仿宋" w:eastAsia="仿宋" w:cs="仿宋"/>
                <w:color w:val="auto"/>
                <w:sz w:val="24"/>
                <w:szCs w:val="24"/>
                <w:highlight w:val="none"/>
              </w:rPr>
              <w:t>成交通知书</w:t>
            </w:r>
          </w:p>
        </w:tc>
        <w:tc>
          <w:tcPr>
            <w:tcW w:w="700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招募方</w:t>
            </w:r>
            <w:r>
              <w:rPr>
                <w:rFonts w:hint="eastAsia" w:ascii="仿宋" w:hAnsi="仿宋" w:eastAsia="仿宋" w:cs="仿宋"/>
                <w:color w:val="auto"/>
                <w:sz w:val="24"/>
                <w:szCs w:val="24"/>
                <w:highlight w:val="none"/>
              </w:rPr>
              <w:t>应在确定</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后及时向</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发出成交通知书。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Merge w:val="continue"/>
            <w:vAlign w:val="center"/>
          </w:tcPr>
          <w:p>
            <w:pPr>
              <w:ind w:firstLine="0" w:firstLineChars="0"/>
              <w:jc w:val="center"/>
              <w:rPr>
                <w:rFonts w:hint="eastAsia" w:ascii="仿宋" w:hAnsi="仿宋" w:eastAsia="仿宋" w:cs="仿宋"/>
                <w:color w:val="auto"/>
                <w:sz w:val="24"/>
                <w:szCs w:val="24"/>
                <w:highlight w:val="none"/>
                <w:lang w:eastAsia="zh-CN"/>
              </w:rPr>
            </w:pPr>
          </w:p>
        </w:tc>
        <w:tc>
          <w:tcPr>
            <w:tcW w:w="1651" w:type="dxa"/>
            <w:vAlign w:val="center"/>
          </w:tcPr>
          <w:p>
            <w:p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4.9</w:t>
            </w:r>
            <w:r>
              <w:rPr>
                <w:rFonts w:hint="eastAsia" w:ascii="仿宋" w:hAnsi="仿宋" w:eastAsia="仿宋" w:cs="仿宋"/>
                <w:color w:val="auto"/>
                <w:sz w:val="24"/>
                <w:szCs w:val="24"/>
                <w:highlight w:val="none"/>
              </w:rPr>
              <w:t>签订书面合同</w:t>
            </w:r>
          </w:p>
        </w:tc>
        <w:tc>
          <w:tcPr>
            <w:tcW w:w="7001" w:type="dxa"/>
            <w:vAlign w:val="center"/>
          </w:tcPr>
          <w:p>
            <w:pPr>
              <w:numPr>
                <w:ilvl w:val="0"/>
                <w:numId w:val="0"/>
              </w:numPr>
              <w:ind w:firstLine="0" w:firstLineChars="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Tahoma"/>
                <w:color w:val="auto"/>
                <w:kern w:val="0"/>
                <w:sz w:val="24"/>
                <w:szCs w:val="24"/>
                <w:highlight w:val="none"/>
              </w:rPr>
              <w:t>招募方与合作单位自</w:t>
            </w:r>
            <w:r>
              <w:rPr>
                <w:rFonts w:hint="eastAsia" w:ascii="仿宋" w:hAnsi="仿宋" w:eastAsia="仿宋" w:cs="Tahoma"/>
                <w:color w:val="auto"/>
                <w:kern w:val="0"/>
                <w:sz w:val="24"/>
                <w:szCs w:val="24"/>
                <w:highlight w:val="none"/>
                <w:lang w:eastAsia="zh-CN"/>
              </w:rPr>
              <w:t>成交</w:t>
            </w:r>
            <w:r>
              <w:rPr>
                <w:rFonts w:hint="eastAsia" w:ascii="仿宋" w:hAnsi="仿宋" w:eastAsia="仿宋" w:cs="Tahoma"/>
                <w:color w:val="auto"/>
                <w:kern w:val="0"/>
                <w:sz w:val="24"/>
                <w:szCs w:val="24"/>
                <w:highlight w:val="none"/>
              </w:rPr>
              <w:t>通知书发出之日起三十日内，按公告文件要求和合作单位签订合同</w:t>
            </w:r>
            <w:r>
              <w:rPr>
                <w:rFonts w:hint="eastAsia" w:ascii="仿宋" w:hAnsi="仿宋" w:eastAsia="仿宋" w:cs="Tahoma"/>
                <w:color w:val="auto"/>
                <w:kern w:val="0"/>
                <w:sz w:val="24"/>
                <w:szCs w:val="24"/>
                <w:highlight w:val="none"/>
                <w:lang w:eastAsia="zh-CN"/>
              </w:rPr>
              <w:t>。</w:t>
            </w:r>
          </w:p>
          <w:p>
            <w:pPr>
              <w:numPr>
                <w:ilvl w:val="0"/>
                <w:numId w:val="0"/>
              </w:numPr>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szCs w:val="24"/>
                <w:highlight w:val="none"/>
              </w:rPr>
              <w:t>签订合同</w:t>
            </w:r>
            <w:r>
              <w:rPr>
                <w:rFonts w:hint="eastAsia" w:ascii="仿宋" w:hAnsi="仿宋" w:eastAsia="仿宋" w:cs="仿宋"/>
                <w:color w:val="auto"/>
                <w:sz w:val="24"/>
                <w:szCs w:val="24"/>
                <w:highlight w:val="none"/>
                <w:lang w:val="en-US" w:eastAsia="zh-CN"/>
              </w:rPr>
              <w:t>5个工作</w:t>
            </w:r>
            <w:r>
              <w:rPr>
                <w:rFonts w:hint="eastAsia" w:ascii="仿宋" w:hAnsi="仿宋" w:eastAsia="仿宋" w:cs="仿宋"/>
                <w:color w:val="auto"/>
                <w:sz w:val="24"/>
                <w:szCs w:val="24"/>
                <w:highlight w:val="none"/>
              </w:rPr>
              <w:t>日内，应退还响应</w:t>
            </w:r>
            <w:r>
              <w:rPr>
                <w:rFonts w:hint="eastAsia" w:ascii="仿宋" w:hAnsi="仿宋" w:eastAsia="仿宋" w:cs="仿宋"/>
                <w:color w:val="auto"/>
                <w:sz w:val="24"/>
                <w:szCs w:val="24"/>
                <w:highlight w:val="none"/>
                <w:lang w:eastAsia="zh-CN"/>
              </w:rPr>
              <w:t>响应单位</w:t>
            </w:r>
            <w:r>
              <w:rPr>
                <w:rFonts w:hint="eastAsia" w:ascii="仿宋" w:hAnsi="仿宋" w:eastAsia="仿宋" w:cs="仿宋"/>
                <w:color w:val="auto"/>
                <w:sz w:val="24"/>
                <w:szCs w:val="24"/>
                <w:highlight w:val="none"/>
              </w:rPr>
              <w:t>的缔约保证金（如有）。</w:t>
            </w:r>
          </w:p>
          <w:p>
            <w:pPr>
              <w:pStyle w:val="2"/>
              <w:numPr>
                <w:ilvl w:val="-1"/>
                <w:numId w:val="0"/>
              </w:numPr>
              <w:spacing w:line="240" w:lineRule="auto"/>
              <w:ind w:firstLine="0" w:firstLineChars="0"/>
              <w:rPr>
                <w:rFonts w:hint="default" w:eastAsia="仿宋"/>
                <w:color w:val="auto"/>
                <w:highlight w:val="none"/>
                <w:lang w:val="en-US" w:eastAsia="zh-CN"/>
              </w:rPr>
            </w:pPr>
            <w:r>
              <w:rPr>
                <w:rFonts w:hint="eastAsia" w:cs="仿宋"/>
                <w:color w:val="auto"/>
                <w:highlight w:val="none"/>
                <w:lang w:eastAsia="zh-CN"/>
              </w:rPr>
              <w:t>3</w:t>
            </w:r>
            <w:r>
              <w:rPr>
                <w:rFonts w:cs="仿宋"/>
                <w:color w:val="auto"/>
                <w:highlight w:val="none"/>
              </w:rPr>
              <w:t>.本项目合同范本（包括合同主要条款）由招募方提供，合作单位知悉并同意无条件接受，以最终签订版本为准。</w:t>
            </w:r>
          </w:p>
        </w:tc>
      </w:tr>
    </w:tbl>
    <w:p>
      <w:pPr>
        <w:pStyle w:val="4"/>
        <w:pageBreakBefore w:val="0"/>
        <w:widowControl w:val="0"/>
        <w:numPr>
          <w:ilvl w:val="-1"/>
          <w:numId w:val="0"/>
        </w:numPr>
        <w:tabs>
          <w:tab w:val="left" w:pos="0"/>
        </w:tabs>
        <w:kinsoku/>
        <w:wordWrap/>
        <w:overflowPunct/>
        <w:topLinePunct w:val="0"/>
        <w:autoSpaceDE/>
        <w:autoSpaceDN/>
        <w:bidi w:val="0"/>
        <w:adjustRightIn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5.发生下列情况之一者，视为无效响应行为：</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5.1响应文件未密封或未按规定签字、盖章的。</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5.2未按公告文件的规定提交响应文件的。</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5.3响应文件未按规定格式填写，或内容与招募文件严重背离的。</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5.4响应文件有两个以上报价的(公告文件允许提交备选方案的除外)。</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5.5响应报价低于项目最低响应限价。</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5.6响应单位不符合国家或者公告文件规定的资格条件。</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5.7响应文件没有对公告文件的实质性要求和条件作出响应。</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5.8其他不符合公告文件要求的情形。</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6.响应文件要求</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6.1响应函（含响应报价）。</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6.2法定代表人证明或授权委托书。</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6.3审查资料。</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6.4响应方案。</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6.5响应单位认为需要提供的其他材料。</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7.质疑和投诉</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7.1质疑提出的时间：</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①对招募文件的质疑应在获取招募公告发布后3个工作日内提出；②对审查过程及结果的质疑应在结果公示期间提出。</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7.2质疑函包含的基本要素：</w:t>
      </w:r>
    </w:p>
    <w:p>
      <w:pPr>
        <w:pStyle w:val="4"/>
        <w:keepNext/>
        <w:keepLines/>
        <w:pageBreakBefore w:val="0"/>
        <w:widowControl w:val="0"/>
        <w:numPr>
          <w:ilvl w:val="-1"/>
          <w:numId w:val="0"/>
        </w:numPr>
        <w:tabs>
          <w:tab w:val="left" w:pos="0"/>
        </w:tabs>
        <w:kinsoku/>
        <w:wordWrap/>
        <w:overflowPunct/>
        <w:topLinePunct w:val="0"/>
        <w:autoSpaceDE/>
        <w:autoSpaceDN/>
        <w:bidi w:val="0"/>
        <w:adjustRightInd/>
        <w:snapToGrid/>
        <w:spacing w:before="0" w:beforeLines="0" w:after="0" w:afterLines="0" w:line="360" w:lineRule="auto"/>
        <w:ind w:left="0"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①响应单位的姓名或者名称、地址、联系人及联系电话；②质疑项目的名称、编号；③具体、明确的质疑事项和与质疑事项相关的请求；④事实依据；⑤必要的法律依据；⑥提出质疑的日期。</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7.3投诉函包含的基本要素：</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①投诉人和被投诉人的姓名或者名称、地址、联系人及联系电话；②投诉项目的名称、编号；③具体的投诉事项及事实依据；④质疑和质疑答复情况的简要描述及相关证明材料；⑤投诉请求；⑥提出投诉的日期。</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7.4无效质疑和投诉</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招募方或投诉受理部门对以下无效质疑或投诉有权不予受理：①跨阶段提出质疑；②质疑或投诉文件未经法定代表人（或授权人）签字并加盖公章；③质疑或投诉基本要素缺失；④质疑或投诉缺少相关依据及证据，仅凭猜测或者证据来源明显违反评审保密规定的；⑤超过质疑或投诉时效。</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7.5对质疑和投诉回复不满意</w:t>
      </w:r>
    </w:p>
    <w:p>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响应单位对质疑不满意的，可以向公告文件载明的监督机构进行投诉。投诉处理期间，招募方视情况决定是否暂停招募活动。响应单位对招募文件载明的监督机构投诉处理意见不满意的，可向上级监督部门申请复议，复议结论为最终处理意见。</w:t>
      </w:r>
    </w:p>
    <w:p>
      <w:pPr>
        <w:pStyle w:val="4"/>
        <w:pageBreakBefore w:val="0"/>
        <w:widowControl w:val="0"/>
        <w:numPr>
          <w:ilvl w:val="1"/>
          <w:numId w:val="0"/>
        </w:numPr>
        <w:tabs>
          <w:tab w:val="left" w:pos="0"/>
        </w:tabs>
        <w:kinsoku/>
        <w:wordWrap/>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8.其他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8.1不良履约响应单位清单：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招募方的上级管理公司将建立统一的不良履约响应单位清单，在本招募项目全过程中，如响应单位发生以下违规行为的，将被纳入不良履约响应单位清单，清理出平台，同时拒绝其在三年内参与区属国有企业的相关活动。违规行为包括：</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①与招募方或其他响应单位串通、协同响应的；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②向招募方及工作人员提供不当利益的；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③主动干扰招募工作纪律，取得应保密的信息的；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④不按照招募文件及响应文件的实质性条款签约的；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⑤累计无效质疑或投诉达到2次的；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⑥虽没有造成经济损失，但性质恶劣造成不良影响的。</w:t>
      </w:r>
    </w:p>
    <w:p>
      <w:pPr>
        <w:spacing w:line="360" w:lineRule="auto"/>
        <w:ind w:firstLine="480" w:firstLineChars="200"/>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8.2</w:t>
      </w:r>
      <w:r>
        <w:rPr>
          <w:rFonts w:hint="default" w:ascii="仿宋" w:hAnsi="仿宋" w:eastAsia="仿宋" w:cs="仿宋"/>
          <w:color w:val="auto"/>
          <w:sz w:val="24"/>
          <w:szCs w:val="24"/>
          <w:highlight w:val="none"/>
        </w:rPr>
        <w:t>替补候选人的适用情形</w:t>
      </w:r>
    </w:p>
    <w:p>
      <w:pPr>
        <w:spacing w:line="360" w:lineRule="auto"/>
        <w:ind w:firstLine="480" w:firstLineChars="200"/>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合作单位放弃合作资格，或拒绝与招募方签订合同的，或自成交通知书发出之日起三十日内合作单位未签到合同的，招募方可以取消其合作资格，并按照</w:t>
      </w:r>
      <w:r>
        <w:rPr>
          <w:rFonts w:hint="eastAsia" w:ascii="仿宋" w:hAnsi="仿宋" w:eastAsia="仿宋" w:cs="仿宋"/>
          <w:color w:val="auto"/>
          <w:sz w:val="24"/>
          <w:szCs w:val="24"/>
          <w:highlight w:val="none"/>
          <w:lang w:eastAsia="zh-CN"/>
        </w:rPr>
        <w:t>评选</w:t>
      </w:r>
      <w:r>
        <w:rPr>
          <w:rFonts w:hint="default" w:ascii="仿宋" w:hAnsi="仿宋" w:eastAsia="仿宋" w:cs="仿宋"/>
          <w:color w:val="auto"/>
          <w:sz w:val="24"/>
          <w:szCs w:val="24"/>
          <w:highlight w:val="none"/>
        </w:rPr>
        <w:t>文件排名的排序，确定下一合作单位，也可以重新开展招募活动。</w:t>
      </w:r>
    </w:p>
    <w:p>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pPr>
        <w:widowControl/>
        <w:spacing w:line="500" w:lineRule="exact"/>
        <w:jc w:val="center"/>
        <w:rPr>
          <w:rFonts w:hint="default"/>
          <w:b/>
          <w:bCs/>
          <w:color w:val="auto"/>
          <w:sz w:val="36"/>
          <w:szCs w:val="36"/>
          <w:highlight w:val="none"/>
          <w:lang w:val="en-US" w:eastAsia="zh-CN"/>
        </w:rPr>
      </w:pPr>
      <w:r>
        <w:rPr>
          <w:rFonts w:hint="eastAsia"/>
          <w:b/>
          <w:bCs/>
          <w:color w:val="auto"/>
          <w:sz w:val="36"/>
          <w:szCs w:val="36"/>
          <w:highlight w:val="none"/>
          <w:lang w:val="en-US" w:eastAsia="zh-CN"/>
        </w:rPr>
        <w:t>第四章 评审办法</w:t>
      </w:r>
    </w:p>
    <w:p>
      <w:pPr>
        <w:pStyle w:val="4"/>
        <w:numPr>
          <w:ilvl w:val="-1"/>
          <w:numId w:val="0"/>
        </w:numPr>
        <w:tabs>
          <w:tab w:val="left" w:pos="0"/>
        </w:tabs>
        <w:spacing w:before="0" w:beforeLines="0" w:after="0" w:afterLines="0" w:line="360" w:lineRule="auto"/>
        <w:ind w:left="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1.评审方法</w:t>
      </w:r>
    </w:p>
    <w:p>
      <w:pPr>
        <w:pStyle w:val="4"/>
        <w:numPr>
          <w:ilvl w:val="-1"/>
          <w:numId w:val="0"/>
        </w:numPr>
        <w:tabs>
          <w:tab w:val="left" w:pos="0"/>
        </w:tabs>
        <w:spacing w:before="0" w:beforeLines="0" w:after="0" w:afterLines="0" w:line="360" w:lineRule="auto"/>
        <w:ind w:left="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1.1本项目采用</w:t>
      </w:r>
      <w:r>
        <w:rPr>
          <w:rFonts w:hint="eastAsia" w:ascii="仿宋" w:hAnsi="仿宋" w:eastAsia="仿宋" w:cs="仿宋"/>
          <w:b/>
          <w:bCs/>
          <w:color w:val="auto"/>
          <w:kern w:val="2"/>
          <w:sz w:val="24"/>
          <w:szCs w:val="24"/>
          <w:highlight w:val="none"/>
          <w:lang w:val="en-US" w:eastAsia="zh-CN" w:bidi="ar-SA"/>
        </w:rPr>
        <w:t>综合评分法</w:t>
      </w:r>
      <w:r>
        <w:rPr>
          <w:rFonts w:hint="eastAsia" w:ascii="仿宋" w:hAnsi="仿宋" w:eastAsia="仿宋" w:cs="仿宋"/>
          <w:b w:val="0"/>
          <w:color w:val="auto"/>
          <w:kern w:val="2"/>
          <w:sz w:val="24"/>
          <w:szCs w:val="24"/>
          <w:highlight w:val="none"/>
          <w:lang w:val="en-US" w:eastAsia="zh-CN" w:bidi="ar-SA"/>
        </w:rPr>
        <w:t>。</w:t>
      </w:r>
    </w:p>
    <w:p>
      <w:pPr>
        <w:pStyle w:val="4"/>
        <w:numPr>
          <w:ilvl w:val="-1"/>
          <w:numId w:val="0"/>
        </w:numPr>
        <w:tabs>
          <w:tab w:val="left" w:pos="0"/>
        </w:tabs>
        <w:spacing w:before="0" w:beforeLines="0" w:after="0" w:afterLines="0" w:line="360" w:lineRule="auto"/>
        <w:ind w:left="0"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1.2招募方对初步评审因素条款均为实质性条款，响应单位未按实质性响应其中任一条款，其响应文件都将被否决。</w:t>
      </w:r>
    </w:p>
    <w:p>
      <w:pPr>
        <w:pStyle w:val="4"/>
        <w:numPr>
          <w:ilvl w:val="-1"/>
          <w:numId w:val="0"/>
        </w:numPr>
        <w:tabs>
          <w:tab w:val="left" w:pos="0"/>
        </w:tabs>
        <w:spacing w:before="0" w:beforeLines="0" w:after="0" w:afterLines="0" w:line="360" w:lineRule="auto"/>
        <w:ind w:left="0" w:firstLine="480" w:firstLineChars="200"/>
        <w:rPr>
          <w:rFonts w:hint="default"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2.初步评审因素</w:t>
      </w:r>
    </w:p>
    <w:tbl>
      <w:tblPr>
        <w:tblStyle w:val="27"/>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2800"/>
        <w:gridCol w:w="5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6" w:type="dxa"/>
          </w:tcPr>
          <w:p>
            <w:pPr>
              <w:pStyle w:val="2"/>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审查</w:t>
            </w:r>
            <w:r>
              <w:rPr>
                <w:rFonts w:hint="eastAsia" w:ascii="仿宋" w:hAnsi="仿宋" w:eastAsia="仿宋" w:cs="仿宋"/>
                <w:color w:val="auto"/>
                <w:kern w:val="0"/>
                <w:sz w:val="24"/>
                <w:szCs w:val="24"/>
                <w:highlight w:val="none"/>
                <w:lang w:bidi="ar"/>
              </w:rPr>
              <w:t>环节</w:t>
            </w:r>
          </w:p>
        </w:tc>
        <w:tc>
          <w:tcPr>
            <w:tcW w:w="2800" w:type="dxa"/>
          </w:tcPr>
          <w:p>
            <w:pPr>
              <w:pStyle w:val="2"/>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审查</w:t>
            </w:r>
            <w:r>
              <w:rPr>
                <w:rFonts w:hint="eastAsia" w:ascii="仿宋" w:hAnsi="仿宋" w:eastAsia="仿宋" w:cs="仿宋"/>
                <w:color w:val="auto"/>
                <w:kern w:val="0"/>
                <w:sz w:val="24"/>
                <w:szCs w:val="24"/>
                <w:highlight w:val="none"/>
                <w:lang w:bidi="ar"/>
              </w:rPr>
              <w:t>因素</w:t>
            </w:r>
          </w:p>
        </w:tc>
        <w:tc>
          <w:tcPr>
            <w:tcW w:w="5249" w:type="dxa"/>
          </w:tcPr>
          <w:p>
            <w:pPr>
              <w:pStyle w:val="2"/>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审查</w:t>
            </w:r>
            <w:r>
              <w:rPr>
                <w:rFonts w:hint="eastAsia" w:ascii="仿宋" w:hAnsi="仿宋" w:eastAsia="仿宋" w:cs="仿宋"/>
                <w:color w:val="auto"/>
                <w:kern w:val="0"/>
                <w:sz w:val="24"/>
                <w:szCs w:val="24"/>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556" w:type="dxa"/>
            <w:vMerge w:val="restart"/>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形式</w:t>
            </w:r>
            <w:r>
              <w:rPr>
                <w:rFonts w:hint="eastAsia" w:ascii="仿宋" w:hAnsi="仿宋" w:eastAsia="仿宋" w:cs="仿宋"/>
                <w:color w:val="auto"/>
                <w:kern w:val="0"/>
                <w:sz w:val="24"/>
                <w:szCs w:val="24"/>
                <w:highlight w:val="none"/>
                <w:lang w:val="en-US" w:eastAsia="zh-CN" w:bidi="ar"/>
              </w:rPr>
              <w:t>审查</w:t>
            </w: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cs="仿宋"/>
                <w:color w:val="auto"/>
                <w:kern w:val="0"/>
                <w:sz w:val="24"/>
                <w:szCs w:val="24"/>
                <w:highlight w:val="none"/>
                <w:lang w:eastAsia="zh-CN" w:bidi="ar"/>
              </w:rPr>
              <w:t>相应单位</w:t>
            </w:r>
            <w:r>
              <w:rPr>
                <w:rFonts w:hint="eastAsia" w:ascii="仿宋" w:hAnsi="仿宋" w:eastAsia="仿宋" w:cs="仿宋"/>
                <w:color w:val="auto"/>
                <w:kern w:val="0"/>
                <w:sz w:val="24"/>
                <w:szCs w:val="24"/>
                <w:highlight w:val="none"/>
                <w:lang w:bidi="ar"/>
              </w:rPr>
              <w:t>名称</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响应函签字盖章</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有响应函，有法定代表人或其授权代理人签字并加盖单位章。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响应文件格式</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符合</w:t>
            </w:r>
            <w:r>
              <w:rPr>
                <w:rFonts w:hint="eastAsia" w:cs="仿宋"/>
                <w:color w:val="auto"/>
                <w:kern w:val="0"/>
                <w:sz w:val="24"/>
                <w:szCs w:val="24"/>
                <w:highlight w:val="none"/>
                <w:lang w:eastAsia="zh-CN" w:bidi="ar"/>
              </w:rPr>
              <w:t>招募</w:t>
            </w:r>
            <w:r>
              <w:rPr>
                <w:rFonts w:hint="eastAsia" w:ascii="仿宋" w:hAnsi="仿宋" w:eastAsia="仿宋" w:cs="仿宋"/>
                <w:color w:val="auto"/>
                <w:kern w:val="0"/>
                <w:sz w:val="24"/>
                <w:szCs w:val="24"/>
                <w:highlight w:val="none"/>
                <w:lang w:bidi="ar"/>
              </w:rPr>
              <w:t>文件“响应文件格式”要求。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报价唯一</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只能有一个有效报价，按</w:t>
            </w:r>
            <w:r>
              <w:rPr>
                <w:rFonts w:hint="eastAsia" w:cs="仿宋"/>
                <w:color w:val="auto"/>
                <w:kern w:val="0"/>
                <w:sz w:val="24"/>
                <w:szCs w:val="24"/>
                <w:highlight w:val="none"/>
                <w:lang w:eastAsia="zh-CN" w:bidi="ar"/>
              </w:rPr>
              <w:t>招募</w:t>
            </w:r>
            <w:r>
              <w:rPr>
                <w:rFonts w:hint="eastAsia" w:ascii="仿宋" w:hAnsi="仿宋" w:eastAsia="仿宋" w:cs="仿宋"/>
                <w:color w:val="auto"/>
                <w:kern w:val="0"/>
                <w:sz w:val="24"/>
                <w:szCs w:val="24"/>
                <w:highlight w:val="none"/>
                <w:lang w:bidi="ar"/>
              </w:rPr>
              <w:t>文件规定提交备选方案的除外。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法定代表人授权委托</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有授权书，授权书有法定代表人及其委托代理人签字加盖单位公章。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56" w:type="dxa"/>
            <w:vMerge w:val="restart"/>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资格</w:t>
            </w:r>
            <w:r>
              <w:rPr>
                <w:rFonts w:hint="eastAsia" w:ascii="仿宋" w:hAnsi="仿宋" w:eastAsia="仿宋" w:cs="仿宋"/>
                <w:color w:val="auto"/>
                <w:kern w:val="0"/>
                <w:sz w:val="24"/>
                <w:szCs w:val="24"/>
                <w:highlight w:val="none"/>
                <w:lang w:val="en-US" w:eastAsia="zh-CN" w:bidi="ar"/>
              </w:rPr>
              <w:t>审查</w:t>
            </w: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响应单位必须是具有独立承担民事责任能力的在中华人民共和国境内注册的法人或其他组织</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有营业执照</w:t>
            </w:r>
            <w:r>
              <w:rPr>
                <w:rFonts w:hint="eastAsia" w:cs="仿宋"/>
                <w:color w:val="auto"/>
                <w:kern w:val="0"/>
                <w:sz w:val="24"/>
                <w:szCs w:val="24"/>
                <w:highlight w:val="none"/>
                <w:lang w:eastAsia="zh-CN" w:bidi="ar"/>
              </w:rPr>
              <w:t>，</w:t>
            </w:r>
            <w:r>
              <w:rPr>
                <w:rFonts w:hint="eastAsia" w:cs="仿宋"/>
                <w:color w:val="auto"/>
                <w:kern w:val="0"/>
                <w:sz w:val="24"/>
                <w:szCs w:val="24"/>
                <w:highlight w:val="none"/>
                <w:lang w:val="en-US" w:eastAsia="zh-CN" w:bidi="ar"/>
              </w:rPr>
              <w:t>且有效</w:t>
            </w:r>
            <w:r>
              <w:rPr>
                <w:rFonts w:hint="eastAsia" w:ascii="仿宋" w:hAnsi="仿宋" w:eastAsia="仿宋" w:cs="仿宋"/>
                <w:color w:val="auto"/>
                <w:kern w:val="0"/>
                <w:sz w:val="24"/>
                <w:szCs w:val="24"/>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default" w:ascii="仿宋" w:hAnsi="仿宋" w:eastAsia="仿宋" w:cs="仿宋"/>
                <w:color w:val="auto"/>
                <w:kern w:val="0"/>
                <w:sz w:val="24"/>
                <w:szCs w:val="24"/>
                <w:highlight w:val="none"/>
                <w:lang w:val="en-US" w:eastAsia="zh-CN" w:bidi="ar"/>
              </w:rPr>
            </w:pPr>
            <w:r>
              <w:rPr>
                <w:rFonts w:hint="default" w:ascii="仿宋" w:hAnsi="仿宋" w:eastAsia="仿宋" w:cs="仿宋"/>
                <w:color w:val="auto"/>
                <w:kern w:val="0"/>
                <w:sz w:val="24"/>
                <w:szCs w:val="24"/>
                <w:highlight w:val="none"/>
                <w:lang w:val="en-US" w:eastAsia="zh-CN" w:bidi="ar"/>
              </w:rPr>
              <w:t>信用记录</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单位未被列入“信用中国”网站(www.creditchina.gov.cn)记录“失信被执行人或重大税收违法案件当事人或政府采购不良行为记录”记录名单；不处于中国政府采购网（www.ccgp.gov.cn)“政府采购严重违法失信行为信息记录”中的禁止参加政府采购活动期间。【以招募方于响应截止日当天在“信用中国”网站（www.creditchina.gov.cn）及中国政府采购网（www.ccgp.gov.cn)查询结果为准，如相关失信记录已失效，响应单位需提供相关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default"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履行合同所必需的许可证明</w:t>
            </w:r>
          </w:p>
        </w:tc>
        <w:tc>
          <w:tcPr>
            <w:tcW w:w="5249" w:type="dxa"/>
            <w:vAlign w:val="center"/>
          </w:tcPr>
          <w:p>
            <w:pPr>
              <w:pStyle w:val="2"/>
              <w:spacing w:line="240" w:lineRule="auto"/>
              <w:ind w:firstLine="0" w:firstLineChars="0"/>
              <w:jc w:val="both"/>
              <w:rPr>
                <w:rFonts w:hint="eastAsia"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响应单位必须具有有效的《食品经营许可证》或《食品生产许可证》。如响应单位的许可证与营业执照合并办理的，提供扫描营业执照二维码后的有效备案信息截图。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cs="仿宋"/>
                <w:color w:val="auto"/>
                <w:kern w:val="0"/>
                <w:sz w:val="24"/>
                <w:szCs w:val="24"/>
                <w:highlight w:val="none"/>
                <w:lang w:val="en-US" w:eastAsia="zh-CN" w:bidi="ar"/>
              </w:rPr>
            </w:pPr>
            <w:r>
              <w:rPr>
                <w:rFonts w:hint="eastAsia" w:cs="仿宋"/>
                <w:color w:val="auto"/>
                <w:kern w:val="0"/>
                <w:sz w:val="24"/>
                <w:szCs w:val="24"/>
                <w:highlight w:val="none"/>
                <w:lang w:val="en-US" w:eastAsia="zh-CN" w:bidi="ar"/>
              </w:rPr>
              <w:t>相应单位必须符合法律、行政法规规定的其他条件</w:t>
            </w:r>
          </w:p>
        </w:tc>
        <w:tc>
          <w:tcPr>
            <w:tcW w:w="5249" w:type="dxa"/>
            <w:vAlign w:val="center"/>
          </w:tcPr>
          <w:p>
            <w:pPr>
              <w:pStyle w:val="2"/>
              <w:spacing w:line="240" w:lineRule="auto"/>
              <w:ind w:firstLine="0" w:firstLineChars="0"/>
              <w:jc w:val="both"/>
              <w:rPr>
                <w:rFonts w:hint="eastAsia" w:cs="仿宋"/>
                <w:color w:val="auto"/>
                <w:kern w:val="0"/>
                <w:sz w:val="24"/>
                <w:szCs w:val="24"/>
                <w:highlight w:val="none"/>
                <w:lang w:val="en-US" w:eastAsia="zh-CN" w:bidi="ar"/>
              </w:rPr>
            </w:pPr>
            <w:r>
              <w:rPr>
                <w:rFonts w:hint="eastAsia" w:ascii="仿宋" w:hAnsi="仿宋" w:eastAsia="仿宋" w:cs="Tahoma"/>
                <w:color w:val="auto"/>
                <w:kern w:val="0"/>
                <w:sz w:val="24"/>
                <w:szCs w:val="24"/>
                <w:highlight w:val="none"/>
                <w:lang w:val="en-US" w:eastAsia="zh-CN"/>
              </w:rPr>
              <w:t>响应单位负责人为同一人或者存在直接控股、管理关系的不同响应单位，不得同时参加本项目响应。</w:t>
            </w:r>
            <w:r>
              <w:rPr>
                <w:rFonts w:hint="eastAsia" w:ascii="仿宋" w:hAnsi="仿宋" w:eastAsia="仿宋" w:cs="仿宋"/>
                <w:i w:val="0"/>
                <w:iCs w:val="0"/>
                <w:color w:val="auto"/>
                <w:sz w:val="24"/>
                <w:szCs w:val="24"/>
                <w:highlight w:val="none"/>
                <w:lang w:eastAsia="zh-CN"/>
              </w:rPr>
              <w:t>（提供《</w:t>
            </w:r>
            <w:r>
              <w:rPr>
                <w:rFonts w:hint="eastAsia" w:ascii="仿宋" w:hAnsi="仿宋" w:eastAsia="仿宋" w:cs="仿宋"/>
                <w:i w:val="0"/>
                <w:iCs w:val="0"/>
                <w:color w:val="auto"/>
                <w:sz w:val="24"/>
                <w:szCs w:val="24"/>
                <w:highlight w:val="none"/>
                <w:lang w:val="en-US" w:eastAsia="zh-CN"/>
              </w:rPr>
              <w:t>响应单位</w:t>
            </w:r>
            <w:r>
              <w:rPr>
                <w:rFonts w:hint="eastAsia" w:ascii="仿宋" w:hAnsi="仿宋" w:eastAsia="仿宋" w:cs="仿宋"/>
                <w:i w:val="0"/>
                <w:iCs w:val="0"/>
                <w:color w:val="auto"/>
                <w:sz w:val="24"/>
                <w:szCs w:val="24"/>
                <w:highlight w:val="none"/>
                <w:lang w:eastAsia="zh-CN"/>
              </w:rPr>
              <w:t>资格声明函》）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Merge w:val="restart"/>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响应性</w:t>
            </w:r>
            <w:r>
              <w:rPr>
                <w:rFonts w:hint="eastAsia" w:ascii="仿宋" w:hAnsi="仿宋" w:eastAsia="仿宋" w:cs="仿宋"/>
                <w:color w:val="auto"/>
                <w:kern w:val="0"/>
                <w:sz w:val="24"/>
                <w:szCs w:val="24"/>
                <w:highlight w:val="none"/>
                <w:lang w:val="en-US" w:eastAsia="zh-CN" w:bidi="ar"/>
              </w:rPr>
              <w:t>审查</w:t>
            </w: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报价</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没有超过最高限价。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响应文件有效期</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满足</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bidi="ar"/>
              </w:rPr>
              <w:t>文件的规定。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Merge w:val="continue"/>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p>
        </w:tc>
        <w:tc>
          <w:tcPr>
            <w:tcW w:w="2800" w:type="dxa"/>
            <w:vAlign w:val="center"/>
          </w:tcPr>
          <w:p>
            <w:pPr>
              <w:pStyle w:val="2"/>
              <w:spacing w:line="240" w:lineRule="auto"/>
              <w:ind w:firstLine="0" w:firstLineChars="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其他</w:t>
            </w:r>
          </w:p>
        </w:tc>
        <w:tc>
          <w:tcPr>
            <w:tcW w:w="5249" w:type="dxa"/>
            <w:vAlign w:val="center"/>
          </w:tcPr>
          <w:p>
            <w:pPr>
              <w:pStyle w:val="2"/>
              <w:spacing w:line="24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无</w:t>
            </w:r>
            <w:r>
              <w:rPr>
                <w:rFonts w:hint="eastAsia" w:cs="仿宋"/>
                <w:color w:val="auto"/>
                <w:kern w:val="0"/>
                <w:sz w:val="24"/>
                <w:szCs w:val="24"/>
                <w:highlight w:val="none"/>
                <w:lang w:val="en-US" w:eastAsia="zh-CN" w:bidi="ar"/>
              </w:rPr>
              <w:t>招募</w:t>
            </w:r>
            <w:r>
              <w:rPr>
                <w:rFonts w:hint="eastAsia" w:ascii="仿宋" w:hAnsi="仿宋" w:eastAsia="仿宋" w:cs="仿宋"/>
                <w:color w:val="auto"/>
                <w:kern w:val="0"/>
                <w:sz w:val="24"/>
                <w:szCs w:val="24"/>
                <w:highlight w:val="none"/>
                <w:lang w:bidi="ar"/>
              </w:rPr>
              <w:t>文件规定的其他无效响应内容。</w:t>
            </w:r>
          </w:p>
        </w:tc>
      </w:tr>
    </w:tbl>
    <w:p>
      <w:pPr>
        <w:pageBreakBefore w:val="0"/>
        <w:widowControl w:val="0"/>
        <w:kinsoku/>
        <w:wordWrap/>
        <w:overflowPunct/>
        <w:topLinePunct w:val="0"/>
        <w:autoSpaceDE/>
        <w:autoSpaceDN/>
        <w:bidi w:val="0"/>
        <w:adjustRightInd/>
        <w:snapToGrid/>
        <w:spacing w:line="360" w:lineRule="auto"/>
        <w:ind w:firstLine="56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说明：初步评审活动依照形式审查、资格审查、响应性审查顺序进行，前一个环节不符合招募文件要求的不得进入下一个环节。</w:t>
      </w:r>
    </w:p>
    <w:p>
      <w:pPr>
        <w:pStyle w:val="4"/>
        <w:pageBreakBefore w:val="0"/>
        <w:widowControl w:val="0"/>
        <w:numPr>
          <w:ilvl w:val="-1"/>
          <w:numId w:val="0"/>
        </w:numPr>
        <w:tabs>
          <w:tab w:val="left" w:pos="0"/>
        </w:tabs>
        <w:kinsoku/>
        <w:wordWrap/>
        <w:overflowPunct/>
        <w:topLinePunct w:val="0"/>
        <w:autoSpaceDE/>
        <w:autoSpaceDN/>
        <w:bidi w:val="0"/>
        <w:adjustRightInd/>
        <w:snapToGrid/>
        <w:spacing w:before="0" w:after="0" w:line="360" w:lineRule="auto"/>
        <w:ind w:left="0" w:firstLine="480" w:firstLineChars="200"/>
        <w:textAlignment w:val="auto"/>
        <w:rPr>
          <w:rFonts w:hint="default"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3.详细评审</w:t>
      </w:r>
    </w:p>
    <w:tbl>
      <w:tblPr>
        <w:tblStyle w:val="26"/>
        <w:tblW w:w="0" w:type="auto"/>
        <w:tblInd w:w="10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22"/>
        <w:gridCol w:w="1904"/>
        <w:gridCol w:w="651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评审因素</w:t>
            </w:r>
          </w:p>
        </w:tc>
        <w:tc>
          <w:tcPr>
            <w:tcW w:w="8422" w:type="dxa"/>
            <w:gridSpan w:val="2"/>
          </w:tcPr>
          <w:p>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分值构成</w:t>
            </w:r>
          </w:p>
        </w:tc>
        <w:tc>
          <w:tcPr>
            <w:tcW w:w="8422" w:type="dxa"/>
            <w:gridSpan w:val="2"/>
          </w:tcPr>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技术</w:t>
            </w:r>
            <w:r>
              <w:rPr>
                <w:rFonts w:hint="eastAsia" w:ascii="仿宋" w:hAnsi="仿宋" w:eastAsia="仿宋" w:cs="仿宋"/>
                <w:color w:val="auto"/>
                <w:sz w:val="24"/>
                <w:szCs w:val="24"/>
                <w:highlight w:val="none"/>
              </w:rPr>
              <w:t>部分</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0分</w:t>
            </w:r>
          </w:p>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商务</w:t>
            </w:r>
            <w:r>
              <w:rPr>
                <w:rFonts w:hint="eastAsia" w:ascii="仿宋" w:hAnsi="仿宋" w:eastAsia="仿宋" w:cs="仿宋"/>
                <w:color w:val="auto"/>
                <w:sz w:val="24"/>
                <w:szCs w:val="24"/>
                <w:highlight w:val="none"/>
              </w:rPr>
              <w:t>部分</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0分</w:t>
            </w:r>
          </w:p>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报价得分10分</w:t>
            </w:r>
          </w:p>
          <w:p>
            <w:pPr>
              <w:pStyle w:val="16"/>
              <w:rPr>
                <w:rFonts w:hint="default" w:eastAsia="仿宋"/>
                <w:color w:val="auto"/>
                <w:highlight w:val="none"/>
                <w:lang w:val="en-US" w:eastAsia="zh-CN"/>
              </w:rPr>
            </w:pPr>
            <w:r>
              <w:rPr>
                <w:rFonts w:hint="eastAsia" w:ascii="仿宋" w:hAnsi="仿宋" w:eastAsia="仿宋" w:cs="仿宋"/>
                <w:color w:val="auto"/>
                <w:sz w:val="24"/>
                <w:szCs w:val="24"/>
                <w:highlight w:val="none"/>
                <w:lang w:eastAsia="zh-CN"/>
              </w:rPr>
              <w:t>合计：</w:t>
            </w:r>
            <w:r>
              <w:rPr>
                <w:rFonts w:hint="eastAsia" w:ascii="仿宋" w:hAnsi="仿宋" w:eastAsia="仿宋" w:cs="仿宋"/>
                <w:color w:val="auto"/>
                <w:sz w:val="24"/>
                <w:szCs w:val="24"/>
                <w:highlight w:val="none"/>
                <w:lang w:val="en-US" w:eastAsia="zh-CN"/>
              </w:rPr>
              <w:t>100分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restart"/>
          </w:tcPr>
          <w:p>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技术部分</w:t>
            </w:r>
          </w:p>
          <w:p>
            <w:pPr>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40分</w:t>
            </w: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整体服务管理方案 (</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根据第二章</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需求中</w:t>
            </w:r>
            <w:r>
              <w:rPr>
                <w:rFonts w:hint="eastAsia" w:ascii="仿宋" w:hAnsi="仿宋" w:eastAsia="仿宋" w:cs="仿宋"/>
                <w:color w:val="auto"/>
                <w:sz w:val="24"/>
                <w:szCs w:val="24"/>
                <w:highlight w:val="none"/>
                <w:lang w:val="en-US" w:eastAsia="zh-CN"/>
              </w:rPr>
              <w:t>“整体服务要求”</w:t>
            </w:r>
            <w:r>
              <w:rPr>
                <w:rFonts w:hint="eastAsia" w:ascii="仿宋" w:hAnsi="仿宋" w:eastAsia="仿宋" w:cs="仿宋"/>
                <w:color w:val="auto"/>
                <w:sz w:val="24"/>
                <w:szCs w:val="24"/>
                <w:highlight w:val="none"/>
              </w:rPr>
              <w:t>的内容，</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须结合本项目的实际需求，制定整体服务管理方案：</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(1)方案完全满足且优于</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 xml:space="preserve">分; </w:t>
            </w:r>
          </w:p>
          <w:p>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(2)方案完全满足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(3)方案不能完全满足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(4)未提供方案的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餐厅升级改造</w:t>
            </w:r>
            <w:r>
              <w:rPr>
                <w:rFonts w:hint="eastAsia" w:ascii="仿宋" w:hAnsi="仿宋" w:eastAsia="仿宋" w:cs="仿宋"/>
                <w:color w:val="auto"/>
                <w:sz w:val="24"/>
                <w:szCs w:val="24"/>
                <w:highlight w:val="none"/>
              </w:rPr>
              <w:t>方案 (</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根据第二章</w:t>
            </w:r>
            <w:r>
              <w:rPr>
                <w:rFonts w:hint="eastAsia" w:ascii="仿宋" w:hAnsi="仿宋" w:eastAsia="仿宋" w:cs="仿宋"/>
                <w:color w:val="auto"/>
                <w:sz w:val="24"/>
                <w:szCs w:val="24"/>
                <w:highlight w:val="none"/>
                <w:lang w:eastAsia="zh-CN"/>
              </w:rPr>
              <w:t>招募</w:t>
            </w:r>
            <w:r>
              <w:rPr>
                <w:rFonts w:hint="eastAsia" w:ascii="仿宋" w:hAnsi="仿宋" w:eastAsia="仿宋" w:cs="仿宋"/>
                <w:color w:val="auto"/>
                <w:sz w:val="24"/>
                <w:szCs w:val="24"/>
                <w:highlight w:val="none"/>
              </w:rPr>
              <w:t>需求中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餐厅升级改造要求</w:t>
            </w:r>
            <w:r>
              <w:rPr>
                <w:rFonts w:hint="eastAsia" w:ascii="仿宋" w:hAnsi="仿宋" w:eastAsia="仿宋" w:cs="仿宋"/>
                <w:color w:val="auto"/>
                <w:sz w:val="24"/>
                <w:szCs w:val="24"/>
                <w:highlight w:val="none"/>
              </w:rPr>
              <w:t>”的内容，</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须结合本项目的实际需求，</w:t>
            </w:r>
            <w:r>
              <w:rPr>
                <w:rFonts w:hint="eastAsia" w:ascii="仿宋" w:hAnsi="仿宋" w:eastAsia="仿宋" w:cs="仿宋"/>
                <w:color w:val="auto"/>
                <w:sz w:val="24"/>
                <w:szCs w:val="24"/>
                <w:highlight w:val="none"/>
                <w:lang w:val="en-US" w:eastAsia="zh-CN"/>
              </w:rPr>
              <w:t>餐厅升级改造</w:t>
            </w:r>
            <w:r>
              <w:rPr>
                <w:rFonts w:hint="eastAsia" w:ascii="仿宋" w:hAnsi="仿宋" w:eastAsia="仿宋" w:cs="仿宋"/>
                <w:color w:val="auto"/>
                <w:sz w:val="24"/>
                <w:szCs w:val="24"/>
                <w:highlight w:val="none"/>
              </w:rPr>
              <w:t>方案：</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(1)方案完全满足且优于</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(2)方案完全满足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(3)方案不能完全满足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需求的，得3分;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(4)未提供方案的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食材安全质量保障方案</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须结合本项目的实际需求，制定食材安全质量保障方案</w:t>
            </w:r>
            <w:r>
              <w:rPr>
                <w:rFonts w:hint="eastAsia" w:ascii="仿宋" w:hAnsi="仿宋" w:eastAsia="仿宋" w:cs="仿宋"/>
                <w:color w:val="auto"/>
                <w:sz w:val="24"/>
                <w:szCs w:val="24"/>
                <w:highlight w:val="none"/>
                <w:lang w:val="en-US" w:eastAsia="zh-CN"/>
              </w:rPr>
              <w:t>及措施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内容需体现关于蔬菜类、水产类、肉类、禽类、等4大品类送至具有CNAS或CMA认证资质第三方检测的工作流程</w:t>
            </w:r>
            <w:r>
              <w:rPr>
                <w:rFonts w:hint="eastAsia" w:ascii="仿宋" w:hAnsi="仿宋" w:eastAsia="仿宋" w:cs="仿宋"/>
                <w:color w:val="auto"/>
                <w:sz w:val="24"/>
                <w:szCs w:val="24"/>
                <w:highlight w:val="none"/>
              </w:rPr>
              <w:t>：</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(1)方案完全满足且优于</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(2)方案完全满足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(3)方案不能完全满足</w:t>
            </w:r>
            <w:r>
              <w:rPr>
                <w:rFonts w:hint="eastAsia" w:ascii="仿宋" w:hAnsi="仿宋" w:eastAsia="仿宋" w:cs="仿宋"/>
                <w:color w:val="auto"/>
                <w:sz w:val="24"/>
                <w:szCs w:val="24"/>
                <w:highlight w:val="none"/>
                <w:lang w:val="en-US" w:eastAsia="zh-CN"/>
              </w:rPr>
              <w:t>招募</w:t>
            </w:r>
            <w:r>
              <w:rPr>
                <w:rFonts w:hint="eastAsia" w:ascii="仿宋" w:hAnsi="仿宋" w:eastAsia="仿宋" w:cs="仿宋"/>
                <w:color w:val="auto"/>
                <w:sz w:val="24"/>
                <w:szCs w:val="24"/>
                <w:highlight w:val="none"/>
              </w:rPr>
              <w:t>需求的，得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(4)未提供方案的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vAlign w:val="top"/>
          </w:tcPr>
          <w:p>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应急</w:t>
            </w:r>
            <w:r>
              <w:rPr>
                <w:rFonts w:hint="eastAsia" w:ascii="仿宋" w:hAnsi="仿宋" w:eastAsia="仿宋" w:cs="仿宋"/>
                <w:color w:val="auto"/>
                <w:sz w:val="24"/>
                <w:szCs w:val="24"/>
                <w:highlight w:val="none"/>
                <w:lang w:val="en-US" w:eastAsia="zh-CN"/>
              </w:rPr>
              <w:t>处理方案</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vAlign w:val="top"/>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val="en-US" w:eastAsia="zh-CN"/>
              </w:rPr>
              <w:t>响应单位对本项目应急事件处理预案，对供餐的响应、疑似食物中毒时间的处理，对发生紧急事件善后措施方案</w:t>
            </w:r>
            <w:r>
              <w:rPr>
                <w:rFonts w:hint="eastAsia" w:ascii="仿宋" w:hAnsi="仿宋" w:eastAsia="仿宋" w:cs="仿宋"/>
                <w:color w:val="auto"/>
                <w:sz w:val="24"/>
                <w:szCs w:val="24"/>
                <w:highlight w:val="none"/>
              </w:rPr>
              <w:t>进行评审：</w:t>
            </w:r>
          </w:p>
          <w:p>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方案设置合理、可行、更优，得8分；</w:t>
            </w:r>
          </w:p>
          <w:p>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方案设置较符合实际情况、比较合理、可行，得5分；</w:t>
            </w:r>
          </w:p>
          <w:p>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方案设置基本符合实际情况，基本合理、可行，得3分</w:t>
            </w:r>
            <w:r>
              <w:rPr>
                <w:rFonts w:hint="eastAsia" w:ascii="仿宋" w:hAnsi="仿宋" w:eastAsia="仿宋" w:cs="仿宋"/>
                <w:color w:val="auto"/>
                <w:sz w:val="24"/>
                <w:szCs w:val="24"/>
                <w:highlight w:val="none"/>
              </w:rPr>
              <w:t>；  (4)</w:t>
            </w:r>
            <w:r>
              <w:rPr>
                <w:rFonts w:hint="eastAsia" w:ascii="仿宋" w:hAnsi="仿宋" w:eastAsia="仿宋" w:cs="仿宋"/>
                <w:color w:val="auto"/>
                <w:sz w:val="24"/>
                <w:szCs w:val="24"/>
                <w:highlight w:val="none"/>
                <w:lang w:val="en-US" w:eastAsia="zh-CN"/>
              </w:rPr>
              <w:t>未提供方案的，</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vAlign w:val="top"/>
          </w:tcPr>
          <w:p>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针对本项目的信息化管理举措 (</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vAlign w:val="top"/>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具备有采购管理系统及</w:t>
            </w:r>
            <w:r>
              <w:rPr>
                <w:rFonts w:hint="eastAsia" w:ascii="仿宋" w:hAnsi="仿宋" w:eastAsia="仿宋" w:cs="仿宋"/>
                <w:color w:val="auto"/>
                <w:sz w:val="24"/>
                <w:szCs w:val="24"/>
                <w:highlight w:val="none"/>
              </w:rPr>
              <w:t>仓库管理系统</w:t>
            </w:r>
            <w:r>
              <w:rPr>
                <w:rFonts w:hint="eastAsia" w:ascii="仿宋" w:hAnsi="仿宋" w:eastAsia="仿宋" w:cs="仿宋"/>
                <w:color w:val="auto"/>
                <w:sz w:val="24"/>
                <w:szCs w:val="24"/>
                <w:highlight w:val="none"/>
                <w:lang w:val="en-US" w:eastAsia="zh-CN"/>
              </w:rPr>
              <w:t>的实施方案，须同时有打造“阳光厨房”的经验与计划，根据响应单位提供方案进行评审：</w:t>
            </w:r>
          </w:p>
          <w:p>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方案设置合理、可行、更优，得8分；</w:t>
            </w:r>
          </w:p>
          <w:p>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方案设置较符合实际情况、比较合理、可行，得5分；</w:t>
            </w:r>
          </w:p>
          <w:p>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方案设置基本符合实际情况，基本合理、可行，得3分</w:t>
            </w:r>
            <w:r>
              <w:rPr>
                <w:rFonts w:hint="eastAsia" w:ascii="仿宋" w:hAnsi="仿宋" w:eastAsia="仿宋" w:cs="仿宋"/>
                <w:color w:val="auto"/>
                <w:sz w:val="24"/>
                <w:szCs w:val="24"/>
                <w:highlight w:val="none"/>
              </w:rPr>
              <w:t>；  (4)</w:t>
            </w:r>
            <w:r>
              <w:rPr>
                <w:rFonts w:hint="eastAsia" w:ascii="仿宋" w:hAnsi="仿宋" w:eastAsia="仿宋" w:cs="仿宋"/>
                <w:color w:val="auto"/>
                <w:sz w:val="24"/>
                <w:szCs w:val="24"/>
                <w:highlight w:val="none"/>
                <w:lang w:val="en-US" w:eastAsia="zh-CN"/>
              </w:rPr>
              <w:t>未提供方案的，</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restart"/>
          </w:tcPr>
          <w:p>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商务部分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50分</w:t>
            </w:r>
            <w:r>
              <w:rPr>
                <w:rFonts w:hint="eastAsia" w:ascii="仿宋" w:hAnsi="仿宋" w:eastAsia="仿宋" w:cs="仿宋"/>
                <w:color w:val="auto"/>
                <w:sz w:val="24"/>
                <w:szCs w:val="24"/>
                <w:highlight w:val="none"/>
                <w:lang w:eastAsia="zh-CN"/>
              </w:rPr>
              <w:t>）</w:t>
            </w: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体系认证(</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p>
        </w:tc>
        <w:tc>
          <w:tcPr>
            <w:tcW w:w="6518" w:type="dxa"/>
          </w:tcPr>
          <w:p>
            <w:pPr>
              <w:keepNext w:val="0"/>
              <w:keepLines w:val="0"/>
              <w:widowControl/>
              <w:suppressLineNumbers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w:t>
            </w:r>
            <w:r>
              <w:rPr>
                <w:rFonts w:ascii="仿宋" w:hAnsi="仿宋" w:eastAsia="仿宋" w:cs="仿宋"/>
                <w:color w:val="auto"/>
                <w:kern w:val="0"/>
                <w:sz w:val="24"/>
                <w:szCs w:val="24"/>
                <w:highlight w:val="none"/>
                <w:lang w:val="en-US" w:eastAsia="zh-CN" w:bidi="ar"/>
              </w:rPr>
              <w:t>质量管理体系认证</w:t>
            </w:r>
            <w:r>
              <w:rPr>
                <w:rFonts w:hint="eastAsia" w:ascii="仿宋" w:hAnsi="仿宋" w:eastAsia="仿宋" w:cs="仿宋"/>
                <w:color w:val="auto"/>
                <w:sz w:val="24"/>
                <w:szCs w:val="24"/>
                <w:highlight w:val="none"/>
              </w:rPr>
              <w:t>证书的得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具有环境管理体系认证证书的得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具有职业健康安全管理体系认证证书的得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具有</w:t>
            </w:r>
            <w:r>
              <w:rPr>
                <w:rFonts w:ascii="仿宋" w:hAnsi="仿宋" w:eastAsia="仿宋" w:cs="仿宋"/>
                <w:color w:val="auto"/>
                <w:kern w:val="0"/>
                <w:sz w:val="24"/>
                <w:szCs w:val="24"/>
                <w:highlight w:val="none"/>
                <w:lang w:val="en-US" w:eastAsia="zh-CN" w:bidi="ar"/>
              </w:rPr>
              <w:t>食品安全管理体系认证</w:t>
            </w:r>
            <w:r>
              <w:rPr>
                <w:rFonts w:hint="eastAsia" w:ascii="仿宋" w:hAnsi="仿宋" w:eastAsia="仿宋" w:cs="仿宋"/>
                <w:color w:val="auto"/>
                <w:sz w:val="24"/>
                <w:szCs w:val="24"/>
                <w:highlight w:val="none"/>
              </w:rPr>
              <w:t>证书的得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color w:val="auto"/>
                <w:highlight w:val="none"/>
              </w:rPr>
            </w:pPr>
            <w:r>
              <w:rPr>
                <w:rFonts w:hint="eastAsia" w:ascii="仿宋" w:hAnsi="仿宋" w:eastAsia="仿宋" w:cs="仿宋"/>
                <w:color w:val="auto"/>
                <w:sz w:val="24"/>
                <w:szCs w:val="24"/>
                <w:highlight w:val="none"/>
                <w:lang w:val="en-US" w:eastAsia="zh-CN"/>
              </w:rPr>
              <w:t>5.具有</w:t>
            </w:r>
            <w:r>
              <w:rPr>
                <w:rFonts w:ascii="仿宋" w:hAnsi="仿宋" w:eastAsia="仿宋" w:cs="仿宋"/>
                <w:color w:val="auto"/>
                <w:kern w:val="0"/>
                <w:sz w:val="24"/>
                <w:szCs w:val="24"/>
                <w:highlight w:val="none"/>
                <w:lang w:val="en-US" w:eastAsia="zh-CN" w:bidi="ar"/>
              </w:rPr>
              <w:t>履约能力评价服务认证证书</w:t>
            </w:r>
            <w:r>
              <w:rPr>
                <w:rFonts w:hint="eastAsia" w:ascii="仿宋" w:hAnsi="仿宋" w:eastAsia="仿宋" w:cs="仿宋"/>
                <w:color w:val="auto"/>
                <w:sz w:val="24"/>
                <w:szCs w:val="24"/>
                <w:highlight w:val="none"/>
              </w:rPr>
              <w:t>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color w:val="auto"/>
                <w:highlight w:val="none"/>
              </w:rPr>
            </w:pPr>
            <w:r>
              <w:rPr>
                <w:rFonts w:hint="eastAsia" w:ascii="仿宋" w:hAnsi="仿宋" w:eastAsia="仿宋" w:cs="仿宋"/>
                <w:color w:val="auto"/>
                <w:sz w:val="24"/>
                <w:szCs w:val="24"/>
                <w:highlight w:val="none"/>
                <w:lang w:val="en-US" w:eastAsia="zh-CN"/>
              </w:rPr>
              <w:t>6.具有</w:t>
            </w:r>
            <w:r>
              <w:rPr>
                <w:rFonts w:ascii="仿宋" w:hAnsi="仿宋" w:eastAsia="仿宋" w:cs="仿宋"/>
                <w:color w:val="auto"/>
                <w:kern w:val="0"/>
                <w:sz w:val="24"/>
                <w:szCs w:val="24"/>
                <w:highlight w:val="none"/>
                <w:lang w:val="en-US" w:eastAsia="zh-CN" w:bidi="ar"/>
              </w:rPr>
              <w:t>诚信管理体系认证证书</w:t>
            </w:r>
            <w:r>
              <w:rPr>
                <w:rFonts w:hint="eastAsia" w:ascii="仿宋" w:hAnsi="仿宋" w:eastAsia="仿宋" w:cs="仿宋"/>
                <w:color w:val="auto"/>
                <w:sz w:val="24"/>
                <w:szCs w:val="24"/>
                <w:highlight w:val="none"/>
              </w:rPr>
              <w:t>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color w:val="auto"/>
                <w:highlight w:val="none"/>
              </w:rPr>
            </w:pPr>
            <w:r>
              <w:rPr>
                <w:rFonts w:hint="eastAsia" w:ascii="仿宋" w:hAnsi="仿宋" w:eastAsia="仿宋" w:cs="仿宋"/>
                <w:color w:val="auto"/>
                <w:sz w:val="24"/>
                <w:szCs w:val="24"/>
                <w:highlight w:val="none"/>
                <w:lang w:val="en-US" w:eastAsia="zh-CN"/>
              </w:rPr>
              <w:t>7.具有</w:t>
            </w:r>
            <w:r>
              <w:rPr>
                <w:rFonts w:ascii="仿宋" w:hAnsi="仿宋" w:eastAsia="仿宋" w:cs="仿宋"/>
                <w:color w:val="auto"/>
                <w:kern w:val="0"/>
                <w:sz w:val="24"/>
                <w:szCs w:val="24"/>
                <w:highlight w:val="none"/>
                <w:lang w:val="en-US" w:eastAsia="zh-CN" w:bidi="ar"/>
              </w:rPr>
              <w:t>供应链安全管理体系认证证书</w:t>
            </w:r>
            <w:r>
              <w:rPr>
                <w:rFonts w:hint="eastAsia" w:ascii="仿宋" w:hAnsi="仿宋" w:eastAsia="仿宋" w:cs="仿宋"/>
                <w:color w:val="auto"/>
                <w:sz w:val="24"/>
                <w:szCs w:val="24"/>
                <w:highlight w:val="none"/>
              </w:rPr>
              <w:t>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p>
            <w:pPr>
              <w:keepNext w:val="0"/>
              <w:keepLines w:val="0"/>
              <w:widowControl/>
              <w:suppressLineNumbers w:val="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8.具有</w:t>
            </w:r>
            <w:r>
              <w:rPr>
                <w:rFonts w:ascii="仿宋" w:hAnsi="仿宋" w:eastAsia="仿宋" w:cs="仿宋"/>
                <w:color w:val="auto"/>
                <w:kern w:val="0"/>
                <w:sz w:val="24"/>
                <w:szCs w:val="24"/>
                <w:highlight w:val="none"/>
                <w:lang w:val="en-US" w:eastAsia="zh-CN" w:bidi="ar"/>
              </w:rPr>
              <w:t>餐饮服务认证证书</w:t>
            </w:r>
            <w:r>
              <w:rPr>
                <w:rFonts w:hint="eastAsia" w:ascii="仿宋" w:hAnsi="仿宋" w:eastAsia="仿宋" w:cs="仿宋"/>
                <w:color w:val="auto"/>
                <w:sz w:val="24"/>
                <w:szCs w:val="24"/>
                <w:highlight w:val="none"/>
              </w:rPr>
              <w:t>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pPr>
              <w:keepNext w:val="0"/>
              <w:keepLines w:val="0"/>
              <w:widowControl/>
              <w:suppressLineNumbers w:val="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val="en-US" w:eastAsia="zh-CN"/>
              </w:rPr>
              <w:t>提供相关证书</w:t>
            </w:r>
            <w:r>
              <w:rPr>
                <w:rFonts w:hint="eastAsia" w:ascii="仿宋" w:hAnsi="仿宋" w:eastAsia="仿宋" w:cs="仿宋"/>
                <w:color w:val="auto"/>
                <w:sz w:val="24"/>
                <w:szCs w:val="24"/>
                <w:highlight w:val="none"/>
              </w:rPr>
              <w:t>同时提供以下材料，否则不得分：①国家认可的认证机构颁发的有效期内的认证证书复印件；②打印认证证书网站公布的链接信息资料（网址以http://www.cnca.gov.cn/网站或者http://cx.cnca.cn/网站公布为准），资料证书状态须显示“有效”。公开信息中无法查询或与公开信息不一致的，</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必须提供发证机构出具的证明函。</w:t>
            </w:r>
            <w:r>
              <w:rPr>
                <w:rFonts w:hint="eastAsia" w:ascii="仿宋" w:hAnsi="仿宋" w:eastAsia="仿宋" w:cs="仿宋"/>
                <w:color w:val="auto"/>
                <w:sz w:val="24"/>
                <w:szCs w:val="24"/>
                <w:highlight w:val="none"/>
                <w:lang w:val="en-US" w:eastAsia="zh-CN"/>
              </w:rPr>
              <w:t>无提供的不得分。</w:t>
            </w:r>
            <w:r>
              <w:rPr>
                <w:rFonts w:hint="eastAsia" w:ascii="仿宋" w:hAnsi="仿宋" w:eastAsia="仿宋" w:cs="仿宋"/>
                <w:color w:val="auto"/>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jc w:val="cente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拟派项目经理情况 (</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项目经理：①具有大专或以上学历，②具有</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年或以上</w:t>
            </w:r>
            <w:r>
              <w:rPr>
                <w:rFonts w:hint="eastAsia" w:ascii="仿宋" w:hAnsi="仿宋" w:eastAsia="仿宋" w:cs="仿宋"/>
                <w:color w:val="auto"/>
                <w:sz w:val="24"/>
                <w:szCs w:val="24"/>
                <w:highlight w:val="none"/>
                <w:lang w:val="en-US" w:eastAsia="zh-CN"/>
              </w:rPr>
              <w:t>餐饮管理</w:t>
            </w:r>
            <w:r>
              <w:rPr>
                <w:rFonts w:hint="eastAsia" w:ascii="仿宋" w:hAnsi="仿宋" w:eastAsia="仿宋" w:cs="仿宋"/>
                <w:color w:val="auto"/>
                <w:sz w:val="24"/>
                <w:szCs w:val="24"/>
                <w:highlight w:val="none"/>
              </w:rPr>
              <w:t>工作经验：</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.同时满足前述</w:t>
            </w:r>
            <w:r>
              <w:rPr>
                <w:rFonts w:hint="eastAsia" w:ascii="仿宋" w:hAnsi="仿宋" w:eastAsia="仿宋" w:cs="仿宋"/>
                <w:color w:val="auto"/>
                <w:sz w:val="24"/>
                <w:szCs w:val="24"/>
                <w:highlight w:val="none"/>
                <w:lang w:val="en-US" w:eastAsia="zh-CN"/>
              </w:rPr>
              <w:t>①和②</w:t>
            </w:r>
            <w:r>
              <w:rPr>
                <w:rFonts w:hint="eastAsia" w:ascii="仿宋" w:hAnsi="仿宋" w:eastAsia="仿宋" w:cs="仿宋"/>
                <w:color w:val="auto"/>
                <w:sz w:val="24"/>
                <w:szCs w:val="24"/>
                <w:highlight w:val="none"/>
              </w:rPr>
              <w:t>的，得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.满足前述①或②的，得2分；</w:t>
            </w:r>
          </w:p>
          <w:p>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均不具备①和②</w:t>
            </w:r>
            <w:r>
              <w:rPr>
                <w:rFonts w:hint="eastAsia" w:ascii="仿宋" w:hAnsi="仿宋" w:eastAsia="仿宋" w:cs="仿宋"/>
                <w:color w:val="auto"/>
                <w:sz w:val="24"/>
                <w:szCs w:val="24"/>
                <w:highlight w:val="none"/>
              </w:rPr>
              <w:t>的，不得分；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注：必须提供</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截止时间前3个月</w:t>
            </w:r>
            <w:r>
              <w:rPr>
                <w:rFonts w:hint="eastAsia" w:ascii="仿宋" w:hAnsi="仿宋" w:eastAsia="仿宋" w:cs="仿宋"/>
                <w:color w:val="auto"/>
                <w:sz w:val="24"/>
                <w:szCs w:val="24"/>
                <w:highlight w:val="none"/>
                <w:lang w:val="en-US" w:eastAsia="zh-CN"/>
              </w:rPr>
              <w:t>(即2024年10月-12月)</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单位购买的社保凭证复印件。对于第①项，须提供学历证书；对于第②项，须提供项目经理个人履历表（履历表上需注明</w:t>
            </w:r>
            <w:r>
              <w:rPr>
                <w:rFonts w:hint="eastAsia" w:ascii="仿宋" w:hAnsi="仿宋" w:eastAsia="仿宋" w:cs="仿宋"/>
                <w:color w:val="auto"/>
                <w:sz w:val="24"/>
                <w:szCs w:val="24"/>
                <w:highlight w:val="none"/>
                <w:lang w:val="en-US" w:eastAsia="zh-CN"/>
              </w:rPr>
              <w:t>餐饮</w:t>
            </w:r>
            <w:r>
              <w:rPr>
                <w:rFonts w:hint="eastAsia" w:ascii="仿宋" w:hAnsi="仿宋" w:eastAsia="仿宋" w:cs="仿宋"/>
                <w:color w:val="auto"/>
                <w:sz w:val="24"/>
                <w:szCs w:val="24"/>
                <w:highlight w:val="none"/>
              </w:rPr>
              <w:t>管理经理工作经验及年限）并加盖</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公章。无提供</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rPr>
              <w:t>不得分。</w:t>
            </w:r>
            <w:r>
              <w:rPr>
                <w:rFonts w:hint="eastAsia" w:ascii="仿宋" w:hAnsi="仿宋" w:eastAsia="仿宋" w:cs="仿宋"/>
                <w:color w:val="auto"/>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拟投入本项目</w:t>
            </w:r>
            <w:r>
              <w:rPr>
                <w:rFonts w:hint="eastAsia" w:ascii="仿宋" w:hAnsi="仿宋" w:eastAsia="仿宋" w:cs="仿宋"/>
                <w:color w:val="auto"/>
                <w:sz w:val="24"/>
                <w:szCs w:val="24"/>
                <w:highlight w:val="none"/>
                <w:lang w:val="en-US" w:eastAsia="zh-CN"/>
              </w:rPr>
              <w:t>关键</w:t>
            </w:r>
            <w:r>
              <w:rPr>
                <w:rFonts w:hint="eastAsia" w:ascii="仿宋" w:hAnsi="仿宋" w:eastAsia="仿宋" w:cs="仿宋"/>
                <w:color w:val="auto"/>
                <w:sz w:val="24"/>
                <w:szCs w:val="24"/>
                <w:highlight w:val="none"/>
              </w:rPr>
              <w:t>人员情况  (</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rPr>
              <w:t>分)</w:t>
            </w:r>
          </w:p>
        </w:tc>
        <w:tc>
          <w:tcPr>
            <w:tcW w:w="6518" w:type="dxa"/>
          </w:tcPr>
          <w:p>
            <w:pPr>
              <w:keepNext w:val="0"/>
              <w:keepLines w:val="0"/>
              <w:widowControl/>
              <w:numPr>
                <w:ilvl w:val="-1"/>
                <w:numId w:val="0"/>
              </w:numPr>
              <w:suppressLineNumbers w:val="0"/>
              <w:jc w:val="left"/>
              <w:rPr>
                <w:rFonts w:hint="default"/>
                <w:color w:val="auto"/>
                <w:highlight w:val="none"/>
                <w:lang w:val="en-US"/>
              </w:rPr>
            </w:pPr>
            <w:r>
              <w:rPr>
                <w:rFonts w:hint="eastAsia" w:ascii="仿宋" w:hAnsi="仿宋" w:eastAsia="仿宋" w:cs="仿宋"/>
                <w:color w:val="auto"/>
                <w:sz w:val="24"/>
                <w:szCs w:val="24"/>
                <w:highlight w:val="none"/>
                <w:lang w:val="en-US" w:eastAsia="zh-CN"/>
              </w:rPr>
              <w:t>一、</w:t>
            </w:r>
            <w:r>
              <w:rPr>
                <w:rFonts w:ascii="仿宋" w:hAnsi="仿宋" w:eastAsia="仿宋" w:cs="仿宋"/>
                <w:color w:val="auto"/>
                <w:kern w:val="0"/>
                <w:sz w:val="24"/>
                <w:szCs w:val="24"/>
                <w:highlight w:val="none"/>
                <w:lang w:val="en-US" w:eastAsia="zh-CN" w:bidi="ar"/>
              </w:rPr>
              <w:t>行政总厨</w:t>
            </w:r>
            <w:r>
              <w:rPr>
                <w:rFonts w:hint="eastAsia" w:ascii="仿宋" w:hAnsi="仿宋" w:eastAsia="仿宋" w:cs="仿宋"/>
                <w:color w:val="auto"/>
                <w:kern w:val="0"/>
                <w:sz w:val="24"/>
                <w:szCs w:val="24"/>
                <w:highlight w:val="none"/>
                <w:lang w:val="en-US" w:eastAsia="zh-CN" w:bidi="ar"/>
              </w:rPr>
              <w:t>1人</w:t>
            </w:r>
            <w:r>
              <w:rPr>
                <w:rFonts w:hint="eastAsia" w:ascii="仿宋" w:hAnsi="仿宋" w:eastAsia="仿宋" w:cs="仿宋"/>
                <w:color w:val="auto"/>
                <w:sz w:val="24"/>
                <w:szCs w:val="24"/>
                <w:highlight w:val="none"/>
              </w:rPr>
              <w:t>：</w:t>
            </w:r>
          </w:p>
          <w:p>
            <w:pPr>
              <w:keepNext w:val="0"/>
              <w:keepLines w:val="0"/>
              <w:widowControl/>
              <w:numPr>
                <w:ilvl w:val="-1"/>
                <w:numId w:val="0"/>
              </w:numPr>
              <w:suppressLineNumbers w:val="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rPr>
              <w:t>①</w:t>
            </w:r>
            <w:r>
              <w:rPr>
                <w:rFonts w:hint="eastAsia" w:ascii="仿宋" w:hAnsi="仿宋" w:eastAsia="仿宋" w:cs="仿宋"/>
                <w:color w:val="auto"/>
                <w:sz w:val="24"/>
                <w:szCs w:val="24"/>
                <w:highlight w:val="none"/>
                <w:lang w:val="en-US" w:eastAsia="zh-CN"/>
              </w:rPr>
              <w:t>具有高</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技师（一级）</w:t>
            </w:r>
            <w:r>
              <w:rPr>
                <w:rFonts w:ascii="仿宋" w:hAnsi="仿宋" w:eastAsia="仿宋" w:cs="仿宋"/>
                <w:color w:val="auto"/>
                <w:kern w:val="0"/>
                <w:sz w:val="24"/>
                <w:szCs w:val="24"/>
                <w:highlight w:val="none"/>
                <w:lang w:val="en-US" w:eastAsia="zh-CN" w:bidi="ar"/>
              </w:rPr>
              <w:t>中式烹调师证</w:t>
            </w:r>
            <w:r>
              <w:rPr>
                <w:rFonts w:hint="eastAsia" w:ascii="仿宋" w:hAnsi="仿宋" w:eastAsia="仿宋" w:cs="仿宋"/>
                <w:color w:val="auto"/>
                <w:kern w:val="0"/>
                <w:sz w:val="24"/>
                <w:szCs w:val="24"/>
                <w:highlight w:val="none"/>
                <w:lang w:val="en-US" w:eastAsia="zh-CN" w:bidi="ar"/>
              </w:rPr>
              <w:t>书的，得3分；</w:t>
            </w:r>
            <w:r>
              <w:rPr>
                <w:rFonts w:hint="eastAsia" w:ascii="仿宋" w:hAnsi="仿宋" w:eastAsia="仿宋" w:cs="仿宋"/>
                <w:color w:val="auto"/>
                <w:sz w:val="24"/>
                <w:szCs w:val="24"/>
                <w:highlight w:val="none"/>
                <w:lang w:val="en-US" w:eastAsia="zh-CN"/>
              </w:rPr>
              <w:t>具有中</w:t>
            </w:r>
            <w:r>
              <w:rPr>
                <w:rFonts w:ascii="仿宋" w:hAnsi="仿宋" w:eastAsia="仿宋" w:cs="仿宋"/>
                <w:color w:val="auto"/>
                <w:kern w:val="0"/>
                <w:sz w:val="24"/>
                <w:szCs w:val="24"/>
                <w:highlight w:val="none"/>
                <w:lang w:val="en-US" w:eastAsia="zh-CN" w:bidi="ar"/>
              </w:rPr>
              <w:t>级中式烹调师证</w:t>
            </w:r>
            <w:r>
              <w:rPr>
                <w:rFonts w:hint="eastAsia" w:ascii="仿宋" w:hAnsi="仿宋" w:eastAsia="仿宋" w:cs="仿宋"/>
                <w:color w:val="auto"/>
                <w:kern w:val="0"/>
                <w:sz w:val="24"/>
                <w:szCs w:val="24"/>
                <w:highlight w:val="none"/>
                <w:lang w:val="en-US" w:eastAsia="zh-CN" w:bidi="ar"/>
              </w:rPr>
              <w:t>书以上的，得1分；不满足的，不得分；本小项最高3分；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lang w:val="en-US" w:eastAsia="zh-CN"/>
              </w:rPr>
              <w:t>②具有高</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技师（一级）西</w:t>
            </w:r>
            <w:r>
              <w:rPr>
                <w:rFonts w:ascii="仿宋" w:hAnsi="仿宋" w:eastAsia="仿宋" w:cs="仿宋"/>
                <w:color w:val="auto"/>
                <w:kern w:val="0"/>
                <w:sz w:val="24"/>
                <w:szCs w:val="24"/>
                <w:highlight w:val="none"/>
                <w:lang w:val="en-US" w:eastAsia="zh-CN" w:bidi="ar"/>
              </w:rPr>
              <w:t>式烹调师证</w:t>
            </w:r>
            <w:r>
              <w:rPr>
                <w:rFonts w:hint="eastAsia" w:ascii="仿宋" w:hAnsi="仿宋" w:eastAsia="仿宋" w:cs="仿宋"/>
                <w:color w:val="auto"/>
                <w:kern w:val="0"/>
                <w:sz w:val="24"/>
                <w:szCs w:val="24"/>
                <w:highlight w:val="none"/>
                <w:lang w:val="en-US" w:eastAsia="zh-CN" w:bidi="ar"/>
              </w:rPr>
              <w:t>书的，得3分；</w:t>
            </w:r>
            <w:r>
              <w:rPr>
                <w:rFonts w:hint="eastAsia" w:ascii="仿宋" w:hAnsi="仿宋" w:eastAsia="仿宋" w:cs="仿宋"/>
                <w:color w:val="auto"/>
                <w:sz w:val="24"/>
                <w:szCs w:val="24"/>
                <w:highlight w:val="none"/>
                <w:lang w:val="en-US" w:eastAsia="zh-CN"/>
              </w:rPr>
              <w:t>具有中</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西</w:t>
            </w:r>
            <w:r>
              <w:rPr>
                <w:rFonts w:ascii="仿宋" w:hAnsi="仿宋" w:eastAsia="仿宋" w:cs="仿宋"/>
                <w:color w:val="auto"/>
                <w:kern w:val="0"/>
                <w:sz w:val="24"/>
                <w:szCs w:val="24"/>
                <w:highlight w:val="none"/>
                <w:lang w:val="en-US" w:eastAsia="zh-CN" w:bidi="ar"/>
              </w:rPr>
              <w:t>式烹调师证</w:t>
            </w:r>
            <w:r>
              <w:rPr>
                <w:rFonts w:hint="eastAsia" w:ascii="仿宋" w:hAnsi="仿宋" w:eastAsia="仿宋" w:cs="仿宋"/>
                <w:color w:val="auto"/>
                <w:kern w:val="0"/>
                <w:sz w:val="24"/>
                <w:szCs w:val="24"/>
                <w:highlight w:val="none"/>
                <w:lang w:val="en-US" w:eastAsia="zh-CN" w:bidi="ar"/>
              </w:rPr>
              <w:t>书以上的，得1分；不满足的，不得分；本小项最高3分；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lang w:val="en-US" w:eastAsia="zh-CN"/>
              </w:rPr>
              <w:t>③具有高</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健康师管理技师或高级公共营养师证书的，得2分；不满足的，不得分；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④</w:t>
            </w:r>
            <w:r>
              <w:rPr>
                <w:rFonts w:hint="eastAsia" w:ascii="仿宋" w:hAnsi="仿宋" w:eastAsia="仿宋" w:cs="仿宋"/>
                <w:color w:val="auto"/>
                <w:sz w:val="24"/>
                <w:szCs w:val="24"/>
                <w:highlight w:val="none"/>
                <w:lang w:val="en-US" w:eastAsia="zh-CN"/>
              </w:rPr>
              <w:t>具有高</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食品安全管理员</w:t>
            </w:r>
            <w:r>
              <w:rPr>
                <w:rFonts w:ascii="仿宋" w:hAnsi="仿宋" w:eastAsia="仿宋" w:cs="仿宋"/>
                <w:color w:val="auto"/>
                <w:kern w:val="0"/>
                <w:sz w:val="24"/>
                <w:szCs w:val="24"/>
                <w:highlight w:val="none"/>
                <w:lang w:val="en-US" w:eastAsia="zh-CN" w:bidi="ar"/>
              </w:rPr>
              <w:t>证</w:t>
            </w:r>
            <w:r>
              <w:rPr>
                <w:rFonts w:hint="eastAsia" w:ascii="仿宋" w:hAnsi="仿宋" w:eastAsia="仿宋" w:cs="仿宋"/>
                <w:color w:val="auto"/>
                <w:kern w:val="0"/>
                <w:sz w:val="24"/>
                <w:szCs w:val="24"/>
                <w:highlight w:val="none"/>
                <w:lang w:val="en-US" w:eastAsia="zh-CN" w:bidi="ar"/>
              </w:rPr>
              <w:t>书的，得2分；不满足的，不得分；</w:t>
            </w:r>
          </w:p>
          <w:p>
            <w:pPr>
              <w:keepNext w:val="0"/>
              <w:keepLines w:val="0"/>
              <w:widowControl/>
              <w:numPr>
                <w:ilvl w:val="-1"/>
                <w:numId w:val="0"/>
              </w:numPr>
              <w:suppressLineNumbers w:val="0"/>
              <w:jc w:val="left"/>
              <w:rPr>
                <w:rFonts w:hint="default"/>
                <w:color w:val="auto"/>
                <w:highlight w:val="none"/>
                <w:lang w:val="en-US"/>
              </w:rPr>
            </w:pPr>
            <w:r>
              <w:rPr>
                <w:rFonts w:hint="eastAsia" w:ascii="仿宋" w:hAnsi="仿宋" w:eastAsia="仿宋" w:cs="仿宋"/>
                <w:color w:val="auto"/>
                <w:kern w:val="0"/>
                <w:sz w:val="24"/>
                <w:szCs w:val="24"/>
                <w:highlight w:val="none"/>
                <w:lang w:val="en-US" w:eastAsia="zh-CN" w:bidi="ar"/>
              </w:rPr>
              <w:t>本项合计最高得10分。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二、</w:t>
            </w:r>
            <w:r>
              <w:rPr>
                <w:rFonts w:ascii="仿宋" w:hAnsi="仿宋" w:eastAsia="仿宋" w:cs="仿宋"/>
                <w:color w:val="auto"/>
                <w:kern w:val="0"/>
                <w:sz w:val="24"/>
                <w:szCs w:val="24"/>
                <w:highlight w:val="none"/>
                <w:lang w:val="en-US" w:eastAsia="zh-CN" w:bidi="ar"/>
              </w:rPr>
              <w:t>烹调师</w:t>
            </w:r>
            <w:r>
              <w:rPr>
                <w:rFonts w:hint="eastAsia" w:ascii="仿宋" w:hAnsi="仿宋" w:eastAsia="仿宋" w:cs="仿宋"/>
                <w:color w:val="auto"/>
                <w:kern w:val="0"/>
                <w:sz w:val="24"/>
                <w:szCs w:val="24"/>
                <w:highlight w:val="none"/>
                <w:lang w:val="en-US" w:eastAsia="zh-CN" w:bidi="ar"/>
              </w:rPr>
              <w:t>：</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①具有</w:t>
            </w:r>
            <w:r>
              <w:rPr>
                <w:rFonts w:ascii="仿宋" w:hAnsi="仿宋" w:eastAsia="仿宋" w:cs="仿宋"/>
                <w:color w:val="auto"/>
                <w:kern w:val="0"/>
                <w:sz w:val="24"/>
                <w:szCs w:val="24"/>
                <w:highlight w:val="none"/>
                <w:lang w:val="en-US" w:eastAsia="zh-CN" w:bidi="ar"/>
              </w:rPr>
              <w:t>高级</w:t>
            </w:r>
            <w:r>
              <w:rPr>
                <w:rFonts w:hint="eastAsia" w:ascii="仿宋" w:hAnsi="仿宋" w:eastAsia="仿宋" w:cs="仿宋"/>
                <w:color w:val="auto"/>
                <w:kern w:val="0"/>
                <w:sz w:val="24"/>
                <w:szCs w:val="24"/>
                <w:highlight w:val="none"/>
                <w:lang w:val="en-US" w:eastAsia="zh-CN" w:bidi="ar"/>
              </w:rPr>
              <w:t>及</w:t>
            </w:r>
            <w:r>
              <w:rPr>
                <w:rFonts w:ascii="仿宋" w:hAnsi="仿宋" w:eastAsia="仿宋" w:cs="仿宋"/>
                <w:color w:val="auto"/>
                <w:kern w:val="0"/>
                <w:sz w:val="24"/>
                <w:szCs w:val="24"/>
                <w:highlight w:val="none"/>
                <w:lang w:val="en-US" w:eastAsia="zh-CN" w:bidi="ar"/>
              </w:rPr>
              <w:t>以上中式烹调师或西式烹饪师证书</w:t>
            </w:r>
            <w:r>
              <w:rPr>
                <w:rFonts w:hint="eastAsia" w:ascii="仿宋" w:hAnsi="仿宋" w:eastAsia="仿宋" w:cs="仿宋"/>
                <w:color w:val="auto"/>
                <w:kern w:val="0"/>
                <w:sz w:val="24"/>
                <w:szCs w:val="24"/>
                <w:highlight w:val="none"/>
                <w:lang w:val="en-US" w:eastAsia="zh-CN" w:bidi="ar"/>
              </w:rPr>
              <w:t>，每提供一人，得2分；本小项最高4分；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②具有初级及</w:t>
            </w:r>
            <w:r>
              <w:rPr>
                <w:rFonts w:ascii="仿宋" w:hAnsi="仿宋" w:eastAsia="仿宋" w:cs="仿宋"/>
                <w:color w:val="auto"/>
                <w:kern w:val="0"/>
                <w:sz w:val="24"/>
                <w:szCs w:val="24"/>
                <w:highlight w:val="none"/>
                <w:lang w:val="en-US" w:eastAsia="zh-CN" w:bidi="ar"/>
              </w:rPr>
              <w:t>以上中式烹调师或西式烹饪师证书</w:t>
            </w:r>
            <w:r>
              <w:rPr>
                <w:rFonts w:hint="eastAsia" w:ascii="仿宋" w:hAnsi="仿宋" w:eastAsia="仿宋" w:cs="仿宋"/>
                <w:color w:val="auto"/>
                <w:kern w:val="0"/>
                <w:sz w:val="24"/>
                <w:szCs w:val="24"/>
                <w:highlight w:val="none"/>
                <w:lang w:val="en-US" w:eastAsia="zh-CN" w:bidi="ar"/>
              </w:rPr>
              <w:t>，每提供一人，得1分；本小项最高2分；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同一人提供多个证书的，视为一个证书，本项合计最高得4分。</w:t>
            </w:r>
          </w:p>
          <w:p>
            <w:pPr>
              <w:keepNext w:val="0"/>
              <w:keepLines w:val="0"/>
              <w:widowControl/>
              <w:numPr>
                <w:ilvl w:val="0"/>
                <w:numId w:val="1"/>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面点师</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①具有</w:t>
            </w:r>
            <w:r>
              <w:rPr>
                <w:rFonts w:ascii="仿宋" w:hAnsi="仿宋" w:eastAsia="仿宋" w:cs="仿宋"/>
                <w:color w:val="auto"/>
                <w:kern w:val="0"/>
                <w:sz w:val="24"/>
                <w:szCs w:val="24"/>
                <w:highlight w:val="none"/>
                <w:lang w:val="en-US" w:eastAsia="zh-CN" w:bidi="ar"/>
              </w:rPr>
              <w:t>高级</w:t>
            </w:r>
            <w:r>
              <w:rPr>
                <w:rFonts w:hint="eastAsia" w:ascii="仿宋" w:hAnsi="仿宋" w:eastAsia="仿宋" w:cs="仿宋"/>
                <w:color w:val="auto"/>
                <w:kern w:val="0"/>
                <w:sz w:val="24"/>
                <w:szCs w:val="24"/>
                <w:highlight w:val="none"/>
                <w:lang w:val="en-US" w:eastAsia="zh-CN" w:bidi="ar"/>
              </w:rPr>
              <w:t>及</w:t>
            </w:r>
            <w:r>
              <w:rPr>
                <w:rFonts w:ascii="仿宋" w:hAnsi="仿宋" w:eastAsia="仿宋" w:cs="仿宋"/>
                <w:color w:val="auto"/>
                <w:kern w:val="0"/>
                <w:sz w:val="24"/>
                <w:szCs w:val="24"/>
                <w:highlight w:val="none"/>
                <w:lang w:val="en-US" w:eastAsia="zh-CN" w:bidi="ar"/>
              </w:rPr>
              <w:t>以上中式</w:t>
            </w:r>
            <w:r>
              <w:rPr>
                <w:rFonts w:hint="eastAsia" w:ascii="仿宋" w:hAnsi="仿宋" w:eastAsia="仿宋" w:cs="仿宋"/>
                <w:color w:val="auto"/>
                <w:kern w:val="0"/>
                <w:sz w:val="24"/>
                <w:szCs w:val="24"/>
                <w:highlight w:val="none"/>
                <w:lang w:val="en-US" w:eastAsia="zh-CN" w:bidi="ar"/>
              </w:rPr>
              <w:t>面点师或西式面点师</w:t>
            </w:r>
            <w:r>
              <w:rPr>
                <w:rFonts w:ascii="仿宋" w:hAnsi="仿宋" w:eastAsia="仿宋" w:cs="仿宋"/>
                <w:color w:val="auto"/>
                <w:kern w:val="0"/>
                <w:sz w:val="24"/>
                <w:szCs w:val="24"/>
                <w:highlight w:val="none"/>
                <w:lang w:val="en-US" w:eastAsia="zh-CN" w:bidi="ar"/>
              </w:rPr>
              <w:t>证书</w:t>
            </w:r>
            <w:r>
              <w:rPr>
                <w:rFonts w:hint="eastAsia" w:ascii="仿宋" w:hAnsi="仿宋" w:eastAsia="仿宋" w:cs="仿宋"/>
                <w:color w:val="auto"/>
                <w:kern w:val="0"/>
                <w:sz w:val="24"/>
                <w:szCs w:val="24"/>
                <w:highlight w:val="none"/>
                <w:lang w:val="en-US" w:eastAsia="zh-CN" w:bidi="ar"/>
              </w:rPr>
              <w:t>的，每提供一人，得2分；本小项最高4分；</w:t>
            </w:r>
          </w:p>
          <w:p>
            <w:pPr>
              <w:keepNext w:val="0"/>
              <w:keepLines w:val="0"/>
              <w:widowControl/>
              <w:numPr>
                <w:ilvl w:val="-1"/>
                <w:numId w:val="0"/>
              </w:numPr>
              <w:suppressLineNumbers w:val="0"/>
              <w:jc w:val="left"/>
              <w:rPr>
                <w:rFonts w:hint="default"/>
                <w:color w:val="auto"/>
                <w:highlight w:val="none"/>
                <w:lang w:val="en-US"/>
              </w:rPr>
            </w:pPr>
            <w:r>
              <w:rPr>
                <w:rFonts w:hint="eastAsia" w:ascii="仿宋" w:hAnsi="仿宋" w:eastAsia="仿宋" w:cs="仿宋"/>
                <w:color w:val="auto"/>
                <w:kern w:val="0"/>
                <w:sz w:val="24"/>
                <w:szCs w:val="24"/>
                <w:highlight w:val="none"/>
                <w:lang w:val="en-US" w:eastAsia="zh-CN" w:bidi="ar"/>
              </w:rPr>
              <w:t>②具有初</w:t>
            </w:r>
            <w:r>
              <w:rPr>
                <w:rFonts w:ascii="仿宋" w:hAnsi="仿宋" w:eastAsia="仿宋" w:cs="仿宋"/>
                <w:color w:val="auto"/>
                <w:kern w:val="0"/>
                <w:sz w:val="24"/>
                <w:szCs w:val="24"/>
                <w:highlight w:val="none"/>
                <w:lang w:val="en-US" w:eastAsia="zh-CN" w:bidi="ar"/>
              </w:rPr>
              <w:t>级</w:t>
            </w:r>
            <w:r>
              <w:rPr>
                <w:rFonts w:hint="eastAsia" w:ascii="仿宋" w:hAnsi="仿宋" w:eastAsia="仿宋" w:cs="仿宋"/>
                <w:color w:val="auto"/>
                <w:kern w:val="0"/>
                <w:sz w:val="24"/>
                <w:szCs w:val="24"/>
                <w:highlight w:val="none"/>
                <w:lang w:val="en-US" w:eastAsia="zh-CN" w:bidi="ar"/>
              </w:rPr>
              <w:t>及</w:t>
            </w:r>
            <w:r>
              <w:rPr>
                <w:rFonts w:ascii="仿宋" w:hAnsi="仿宋" w:eastAsia="仿宋" w:cs="仿宋"/>
                <w:color w:val="auto"/>
                <w:kern w:val="0"/>
                <w:sz w:val="24"/>
                <w:szCs w:val="24"/>
                <w:highlight w:val="none"/>
                <w:lang w:val="en-US" w:eastAsia="zh-CN" w:bidi="ar"/>
              </w:rPr>
              <w:t>以上中式</w:t>
            </w:r>
            <w:r>
              <w:rPr>
                <w:rFonts w:hint="eastAsia" w:ascii="仿宋" w:hAnsi="仿宋" w:eastAsia="仿宋" w:cs="仿宋"/>
                <w:color w:val="auto"/>
                <w:kern w:val="0"/>
                <w:sz w:val="24"/>
                <w:szCs w:val="24"/>
                <w:highlight w:val="none"/>
                <w:lang w:val="en-US" w:eastAsia="zh-CN" w:bidi="ar"/>
              </w:rPr>
              <w:t>面点师或西式面点师</w:t>
            </w:r>
            <w:r>
              <w:rPr>
                <w:rFonts w:ascii="仿宋" w:hAnsi="仿宋" w:eastAsia="仿宋" w:cs="仿宋"/>
                <w:color w:val="auto"/>
                <w:kern w:val="0"/>
                <w:sz w:val="24"/>
                <w:szCs w:val="24"/>
                <w:highlight w:val="none"/>
                <w:lang w:val="en-US" w:eastAsia="zh-CN" w:bidi="ar"/>
              </w:rPr>
              <w:t>证书</w:t>
            </w:r>
            <w:r>
              <w:rPr>
                <w:rFonts w:hint="eastAsia" w:ascii="仿宋" w:hAnsi="仿宋" w:eastAsia="仿宋" w:cs="仿宋"/>
                <w:color w:val="auto"/>
                <w:kern w:val="0"/>
                <w:sz w:val="24"/>
                <w:szCs w:val="24"/>
                <w:highlight w:val="none"/>
                <w:lang w:val="en-US" w:eastAsia="zh-CN" w:bidi="ar"/>
              </w:rPr>
              <w:t>的，每提供一人，得1分；本小项最高2分；</w:t>
            </w:r>
          </w:p>
          <w:p>
            <w:pPr>
              <w:keepNext w:val="0"/>
              <w:keepLines w:val="0"/>
              <w:widowControl/>
              <w:numPr>
                <w:ilvl w:val="-1"/>
                <w:numId w:val="0"/>
              </w:numPr>
              <w:suppressLineNumbers w:val="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同一人提供多个证书的，视为一个证书，本项合计最高得4分。</w:t>
            </w:r>
          </w:p>
          <w:p>
            <w:pPr>
              <w:keepNext w:val="0"/>
              <w:keepLines w:val="0"/>
              <w:widowControl/>
              <w:numPr>
                <w:ilvl w:val="0"/>
                <w:numId w:val="0"/>
              </w:numPr>
              <w:suppressLineNumbers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注：</w:t>
            </w:r>
            <w:r>
              <w:rPr>
                <w:rFonts w:hint="eastAsia" w:ascii="仿宋" w:hAnsi="仿宋" w:eastAsia="仿宋" w:cs="仿宋"/>
                <w:color w:val="auto"/>
                <w:sz w:val="24"/>
                <w:szCs w:val="24"/>
                <w:highlight w:val="none"/>
              </w:rPr>
              <w:t>提供有效的证书复印件及国家职业资格证书网站查询结果截图（网址：http://zscx.osta.org.cn/）。除上述要求提供的资料外，还须提供</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截止时间前3个月</w:t>
            </w:r>
            <w:r>
              <w:rPr>
                <w:rFonts w:hint="eastAsia" w:ascii="仿宋" w:hAnsi="仿宋" w:eastAsia="仿宋" w:cs="仿宋"/>
                <w:color w:val="auto"/>
                <w:sz w:val="24"/>
                <w:szCs w:val="24"/>
                <w:highlight w:val="none"/>
                <w:lang w:val="en-US" w:eastAsia="zh-CN"/>
              </w:rPr>
              <w:t>(即2024年10月-12月)</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单位购买的社保凭证复印件。无提供</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rPr>
              <w:t>不得分。</w:t>
            </w:r>
            <w:r>
              <w:rPr>
                <w:rFonts w:hint="eastAsia" w:ascii="仿宋" w:hAnsi="仿宋" w:eastAsia="仿宋" w:cs="仿宋"/>
                <w:color w:val="auto"/>
                <w:sz w:val="24"/>
                <w:szCs w:val="24"/>
                <w:highlight w:val="none"/>
                <w:lang w:val="en-US" w:eastAsia="zh-CN"/>
              </w:rPr>
              <w:t>同一人</w:t>
            </w:r>
            <w:r>
              <w:rPr>
                <w:rFonts w:hint="eastAsia" w:ascii="仿宋" w:hAnsi="仿宋" w:eastAsia="仿宋" w:cs="仿宋"/>
                <w:color w:val="auto"/>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202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年1月1日至今同类业绩 (</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每提供一项</w:t>
            </w:r>
            <w:r>
              <w:rPr>
                <w:rFonts w:hint="eastAsia" w:ascii="仿宋" w:hAnsi="仿宋" w:eastAsia="仿宋" w:cs="仿宋"/>
                <w:color w:val="auto"/>
                <w:sz w:val="24"/>
                <w:szCs w:val="24"/>
                <w:highlight w:val="none"/>
                <w:lang w:val="en-US" w:eastAsia="zh-CN"/>
              </w:rPr>
              <w:t>独立承接饭堂、餐厅运营</w:t>
            </w:r>
            <w:r>
              <w:rPr>
                <w:rFonts w:hint="eastAsia" w:ascii="仿宋" w:hAnsi="仿宋" w:eastAsia="仿宋" w:cs="仿宋"/>
                <w:color w:val="auto"/>
                <w:sz w:val="24"/>
                <w:szCs w:val="24"/>
                <w:highlight w:val="none"/>
              </w:rPr>
              <w:t>服务</w:t>
            </w:r>
            <w:r>
              <w:rPr>
                <w:rFonts w:hint="eastAsia" w:ascii="仿宋" w:hAnsi="仿宋" w:eastAsia="仿宋" w:cs="仿宋"/>
                <w:color w:val="auto"/>
                <w:sz w:val="24"/>
                <w:szCs w:val="24"/>
                <w:highlight w:val="none"/>
                <w:lang w:val="en-US" w:eastAsia="zh-CN"/>
              </w:rPr>
              <w:t>业绩合同的，</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分，本</w:t>
            </w:r>
            <w:r>
              <w:rPr>
                <w:rFonts w:hint="eastAsia" w:ascii="仿宋" w:hAnsi="仿宋" w:eastAsia="仿宋" w:cs="仿宋"/>
                <w:color w:val="auto"/>
                <w:sz w:val="24"/>
                <w:szCs w:val="24"/>
                <w:highlight w:val="none"/>
                <w:lang w:val="en-US" w:eastAsia="zh-CN"/>
              </w:rPr>
              <w:t>小</w:t>
            </w:r>
            <w:r>
              <w:rPr>
                <w:rFonts w:hint="eastAsia" w:ascii="仿宋" w:hAnsi="仿宋" w:eastAsia="仿宋" w:cs="仿宋"/>
                <w:color w:val="auto"/>
                <w:sz w:val="24"/>
                <w:szCs w:val="24"/>
                <w:highlight w:val="none"/>
              </w:rPr>
              <w:t>项最高得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w:t>
            </w:r>
          </w:p>
          <w:p>
            <w:pPr>
              <w:keepNext w:val="0"/>
              <w:keepLines w:val="0"/>
              <w:widowControl/>
              <w:suppressLineNumbers w:val="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2.如提供的业绩与</w:t>
            </w:r>
            <w:r>
              <w:rPr>
                <w:rFonts w:ascii="仿宋" w:hAnsi="仿宋" w:eastAsia="仿宋" w:cs="仿宋"/>
                <w:color w:val="auto"/>
                <w:kern w:val="0"/>
                <w:sz w:val="24"/>
                <w:szCs w:val="24"/>
                <w:highlight w:val="none"/>
                <w:lang w:val="en-US" w:eastAsia="zh-CN" w:bidi="ar"/>
              </w:rPr>
              <w:t>政府食堂</w:t>
            </w:r>
            <w:r>
              <w:rPr>
                <w:rFonts w:hint="eastAsia" w:ascii="仿宋" w:hAnsi="仿宋" w:eastAsia="仿宋" w:cs="仿宋"/>
                <w:color w:val="auto"/>
                <w:kern w:val="0"/>
                <w:sz w:val="24"/>
                <w:szCs w:val="24"/>
                <w:highlight w:val="none"/>
                <w:lang w:val="en-US" w:eastAsia="zh-CN" w:bidi="ar"/>
              </w:rPr>
              <w:t>有关的，每项可加2分，本小项最高可加4分。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注：须提供</w:t>
            </w:r>
            <w:r>
              <w:rPr>
                <w:rFonts w:hint="eastAsia" w:ascii="仿宋" w:hAnsi="仿宋" w:eastAsia="仿宋" w:cs="仿宋"/>
                <w:color w:val="auto"/>
                <w:sz w:val="24"/>
                <w:szCs w:val="24"/>
                <w:highlight w:val="none"/>
              </w:rPr>
              <w:t>合同关键页（含签订合同双方的单位名称、合同项目名称、服务内容页、签订合同双方的落款盖章、签订日期的关键页）复印件作为同类业绩评价证明资料。无提供</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不得分。</w:t>
            </w:r>
            <w:r>
              <w:rPr>
                <w:rFonts w:hint="eastAsia" w:ascii="仿宋" w:hAnsi="仿宋" w:eastAsia="仿宋" w:cs="仿宋"/>
                <w:color w:val="auto"/>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用户满意度评价 (3分)</w:t>
            </w:r>
          </w:p>
        </w:tc>
        <w:tc>
          <w:tcPr>
            <w:tcW w:w="6518"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提供符合上述的</w:t>
            </w:r>
            <w:r>
              <w:rPr>
                <w:rFonts w:hint="eastAsia" w:ascii="仿宋" w:hAnsi="仿宋" w:eastAsia="仿宋" w:cs="仿宋"/>
                <w:color w:val="auto"/>
                <w:sz w:val="24"/>
                <w:szCs w:val="24"/>
                <w:highlight w:val="none"/>
                <w:lang w:val="en-US" w:eastAsia="zh-CN"/>
              </w:rPr>
              <w:t>业绩</w:t>
            </w:r>
            <w:r>
              <w:rPr>
                <w:rFonts w:hint="eastAsia" w:ascii="仿宋" w:hAnsi="仿宋" w:eastAsia="仿宋" w:cs="仿宋"/>
                <w:color w:val="auto"/>
                <w:sz w:val="24"/>
                <w:szCs w:val="24"/>
                <w:highlight w:val="none"/>
              </w:rPr>
              <w:t>用户单位出具的满意度评价，评价情况至少须为“满意”或类似好评的方可计分： 每提供一项得1分，最高3分。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注：①同一客户或同一项目提供多项用户满意度评价的，按一项计算；②须与</w:t>
            </w: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上述提供的202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年1月1日至今的同类</w:t>
            </w:r>
            <w:r>
              <w:rPr>
                <w:rFonts w:hint="eastAsia" w:ascii="仿宋" w:hAnsi="仿宋" w:eastAsia="仿宋" w:cs="仿宋"/>
                <w:color w:val="auto"/>
                <w:sz w:val="24"/>
                <w:szCs w:val="24"/>
                <w:highlight w:val="none"/>
                <w:lang w:val="en-US" w:eastAsia="zh-CN"/>
              </w:rPr>
              <w:t>业绩</w:t>
            </w:r>
            <w:r>
              <w:rPr>
                <w:rFonts w:hint="eastAsia" w:ascii="仿宋" w:hAnsi="仿宋" w:eastAsia="仿宋" w:cs="仿宋"/>
                <w:color w:val="auto"/>
                <w:sz w:val="24"/>
                <w:szCs w:val="24"/>
                <w:highlight w:val="none"/>
              </w:rPr>
              <w:t>的用户单位一致；③用户满意度评价须经用户单位或用户单位后勤相关部门盖章，评价情况至少须为满意或类似好评的方可计分。无提供</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不得分。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Merge w:val="continue"/>
          </w:tcPr>
          <w:p>
            <w:pPr>
              <w:rPr>
                <w:rFonts w:hint="eastAsia" w:ascii="仿宋" w:hAnsi="仿宋" w:eastAsia="仿宋" w:cs="仿宋"/>
                <w:color w:val="auto"/>
                <w:sz w:val="24"/>
                <w:szCs w:val="24"/>
                <w:highlight w:val="none"/>
              </w:rPr>
            </w:pP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响应单位检测</w:t>
            </w:r>
            <w:r>
              <w:rPr>
                <w:rFonts w:hint="eastAsia" w:ascii="仿宋" w:hAnsi="仿宋" w:eastAsia="仿宋" w:cs="仿宋"/>
                <w:color w:val="auto"/>
                <w:sz w:val="24"/>
                <w:szCs w:val="24"/>
                <w:highlight w:val="none"/>
              </w:rPr>
              <w:t>设备</w:t>
            </w:r>
            <w:r>
              <w:rPr>
                <w:rFonts w:hint="eastAsia" w:ascii="仿宋" w:hAnsi="仿宋" w:eastAsia="仿宋" w:cs="仿宋"/>
                <w:color w:val="auto"/>
                <w:sz w:val="24"/>
                <w:szCs w:val="24"/>
                <w:highlight w:val="none"/>
                <w:lang w:val="en-US" w:eastAsia="zh-CN"/>
              </w:rPr>
              <w:t>配置</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tc>
        <w:tc>
          <w:tcPr>
            <w:tcW w:w="6518" w:type="dxa"/>
          </w:tcPr>
          <w:p>
            <w:pPr>
              <w:keepNext w:val="0"/>
              <w:keepLines w:val="0"/>
              <w:widowControl/>
              <w:suppressLineNumbers w:val="0"/>
              <w:jc w:val="left"/>
              <w:rPr>
                <w:color w:val="auto"/>
                <w:highlight w:val="none"/>
              </w:rPr>
            </w:pPr>
            <w:r>
              <w:rPr>
                <w:rFonts w:hint="eastAsia" w:ascii="仿宋" w:hAnsi="仿宋" w:eastAsia="仿宋" w:cs="仿宋"/>
                <w:color w:val="auto"/>
                <w:sz w:val="24"/>
                <w:szCs w:val="24"/>
                <w:highlight w:val="none"/>
                <w:lang w:val="en-US" w:eastAsia="zh-CN"/>
              </w:rPr>
              <w:t>检测</w:t>
            </w:r>
            <w:r>
              <w:rPr>
                <w:rFonts w:hint="eastAsia" w:ascii="仿宋" w:hAnsi="仿宋" w:eastAsia="仿宋" w:cs="仿宋"/>
                <w:color w:val="auto"/>
                <w:sz w:val="24"/>
                <w:szCs w:val="24"/>
                <w:highlight w:val="none"/>
              </w:rPr>
              <w:t>设备</w:t>
            </w:r>
            <w:r>
              <w:rPr>
                <w:rFonts w:hint="eastAsia" w:ascii="仿宋" w:hAnsi="仿宋" w:eastAsia="仿宋" w:cs="仿宋"/>
                <w:color w:val="auto"/>
                <w:sz w:val="24"/>
                <w:szCs w:val="24"/>
                <w:highlight w:val="none"/>
                <w:lang w:val="en-US" w:eastAsia="zh-CN"/>
              </w:rPr>
              <w:t>配置：</w:t>
            </w:r>
            <w:r>
              <w:rPr>
                <w:rFonts w:ascii="仿宋" w:hAnsi="仿宋" w:eastAsia="仿宋" w:cs="仿宋"/>
                <w:color w:val="auto"/>
                <w:kern w:val="0"/>
                <w:sz w:val="24"/>
                <w:szCs w:val="24"/>
                <w:highlight w:val="none"/>
                <w:lang w:val="en-US" w:eastAsia="zh-CN" w:bidi="ar"/>
              </w:rPr>
              <w:t xml:space="preserve">(1)农药残留检测仪器；(2)兽药残留检测仪器；(3)病害肉检测仪； (4)肉类水分检测仪； </w:t>
            </w:r>
            <w:r>
              <w:rPr>
                <w:rFonts w:hint="eastAsia" w:ascii="仿宋" w:hAnsi="仿宋" w:eastAsia="仿宋" w:cs="仿宋"/>
                <w:color w:val="auto"/>
                <w:kern w:val="0"/>
                <w:sz w:val="24"/>
                <w:szCs w:val="24"/>
                <w:highlight w:val="none"/>
                <w:lang w:val="en-US" w:eastAsia="zh-CN" w:bidi="ar"/>
              </w:rPr>
              <w:t>(5)细菌检测仪；(6)瘦肉精检测仪；(7)水质重金属检测仪；(8)食品重金属检测仪；(9)食品综合分析仪；(10)食品添加剂检测仪。</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响应单位每具备以上1款设备配置的，可得1分，最高得10分</w:t>
            </w:r>
            <w:r>
              <w:rPr>
                <w:rFonts w:hint="eastAsia" w:ascii="仿宋" w:hAnsi="仿宋" w:eastAsia="仿宋" w:cs="仿宋"/>
                <w:color w:val="auto"/>
                <w:sz w:val="24"/>
                <w:szCs w:val="24"/>
                <w:highlight w:val="none"/>
              </w:rPr>
              <w:t>。</w:t>
            </w:r>
          </w:p>
          <w:p>
            <w:pPr>
              <w:keepNext w:val="0"/>
              <w:keepLines w:val="0"/>
              <w:widowControl/>
              <w:suppressLineNumbers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注：①</w:t>
            </w:r>
            <w:r>
              <w:rPr>
                <w:rFonts w:ascii="仿宋" w:hAnsi="仿宋" w:eastAsia="仿宋" w:cs="仿宋"/>
                <w:color w:val="auto"/>
                <w:kern w:val="0"/>
                <w:sz w:val="24"/>
                <w:szCs w:val="24"/>
                <w:highlight w:val="none"/>
                <w:lang w:val="en-US" w:eastAsia="zh-CN" w:bidi="ar"/>
              </w:rPr>
              <w:t>须提供购买</w:t>
            </w:r>
            <w:r>
              <w:rPr>
                <w:rFonts w:hint="eastAsia" w:ascii="仿宋" w:hAnsi="仿宋" w:eastAsia="仿宋" w:cs="仿宋"/>
                <w:color w:val="auto"/>
                <w:kern w:val="0"/>
                <w:sz w:val="24"/>
                <w:szCs w:val="24"/>
                <w:highlight w:val="none"/>
                <w:lang w:val="en-US" w:eastAsia="zh-CN" w:bidi="ar"/>
              </w:rPr>
              <w:t>设备</w:t>
            </w:r>
            <w:r>
              <w:rPr>
                <w:rFonts w:hint="eastAsia" w:ascii="仿宋" w:hAnsi="仿宋" w:eastAsia="仿宋" w:cs="仿宋"/>
                <w:color w:val="auto"/>
                <w:sz w:val="24"/>
                <w:szCs w:val="24"/>
                <w:highlight w:val="none"/>
                <w:lang w:val="en-US" w:eastAsia="zh-CN"/>
              </w:rPr>
              <w:t>配置</w:t>
            </w:r>
            <w:r>
              <w:rPr>
                <w:rFonts w:ascii="仿宋" w:hAnsi="仿宋" w:eastAsia="仿宋" w:cs="仿宋"/>
                <w:color w:val="auto"/>
                <w:kern w:val="0"/>
                <w:sz w:val="24"/>
                <w:szCs w:val="24"/>
                <w:highlight w:val="none"/>
                <w:lang w:val="en-US" w:eastAsia="zh-CN" w:bidi="ar"/>
              </w:rPr>
              <w:t>发票</w:t>
            </w:r>
            <w:r>
              <w:rPr>
                <w:rFonts w:hint="eastAsia" w:ascii="仿宋" w:hAnsi="仿宋" w:eastAsia="仿宋" w:cs="仿宋"/>
                <w:color w:val="auto"/>
                <w:kern w:val="0"/>
                <w:sz w:val="24"/>
                <w:szCs w:val="24"/>
                <w:highlight w:val="none"/>
                <w:lang w:val="en-US" w:eastAsia="zh-CN" w:bidi="ar"/>
              </w:rPr>
              <w:t>复印件并加盖公章</w:t>
            </w:r>
            <w:r>
              <w:rPr>
                <w:rFonts w:hint="eastAsia" w:ascii="仿宋" w:hAnsi="仿宋" w:eastAsia="仿宋" w:cs="仿宋"/>
                <w:color w:val="auto"/>
                <w:sz w:val="24"/>
                <w:szCs w:val="24"/>
                <w:highlight w:val="none"/>
              </w:rPr>
              <w:t>。无提供</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不得分。</w:t>
            </w:r>
            <w:r>
              <w:rPr>
                <w:rFonts w:hint="eastAsia" w:ascii="仿宋" w:hAnsi="仿宋" w:eastAsia="仿宋" w:cs="仿宋"/>
                <w:color w:val="auto"/>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报价</w:t>
            </w:r>
          </w:p>
          <w:p>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10分</w:t>
            </w:r>
          </w:p>
        </w:tc>
        <w:tc>
          <w:tcPr>
            <w:tcW w:w="1904" w:type="dxa"/>
          </w:tcPr>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报价得分 (10分)</w:t>
            </w:r>
          </w:p>
        </w:tc>
        <w:tc>
          <w:tcPr>
            <w:tcW w:w="6518" w:type="dxa"/>
          </w:tcPr>
          <w:p>
            <w:pPr>
              <w:numPr>
                <w:ilvl w:val="0"/>
                <w:numId w:val="2"/>
              </w:num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基准价：各有效响应</w:t>
            </w:r>
            <w:r>
              <w:rPr>
                <w:rFonts w:hint="eastAsia" w:ascii="仿宋" w:hAnsi="仿宋" w:eastAsia="仿宋" w:cs="仿宋"/>
                <w:color w:val="auto"/>
                <w:sz w:val="24"/>
                <w:szCs w:val="24"/>
                <w:highlight w:val="none"/>
              </w:rPr>
              <w:t>文件</w:t>
            </w:r>
            <w:r>
              <w:rPr>
                <w:rFonts w:hint="eastAsia" w:ascii="仿宋" w:hAnsi="仿宋" w:eastAsia="仿宋" w:cs="仿宋"/>
                <w:color w:val="auto"/>
                <w:sz w:val="24"/>
                <w:szCs w:val="24"/>
                <w:highlight w:val="none"/>
                <w:lang w:val="en-US" w:eastAsia="zh-CN"/>
              </w:rPr>
              <w:t>的响应价（去除最高和最低响应价后）计算平均值作为基准价。</w:t>
            </w:r>
          </w:p>
          <w:p>
            <w:pPr>
              <w:numPr>
                <w:ilvl w:val="-1"/>
                <w:numId w:val="0"/>
              </w:num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2、各响应单位</w:t>
            </w:r>
            <w:r>
              <w:rPr>
                <w:rFonts w:hint="eastAsia" w:ascii="仿宋" w:hAnsi="仿宋" w:eastAsia="仿宋" w:cs="仿宋"/>
                <w:color w:val="auto"/>
                <w:sz w:val="24"/>
                <w:szCs w:val="24"/>
                <w:highlight w:val="none"/>
              </w:rPr>
              <w:t>的价格分统一按照下列公式计算：</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报价得分=(</w:t>
            </w:r>
            <w:r>
              <w:rPr>
                <w:rFonts w:hint="eastAsia" w:ascii="仿宋" w:hAnsi="仿宋" w:eastAsia="仿宋" w:cs="仿宋"/>
                <w:color w:val="auto"/>
                <w:sz w:val="24"/>
                <w:szCs w:val="24"/>
                <w:highlight w:val="none"/>
                <w:lang w:val="en-US" w:eastAsia="zh-CN"/>
              </w:rPr>
              <w:t>响应报价/</w:t>
            </w:r>
            <w:r>
              <w:rPr>
                <w:rFonts w:hint="eastAsia" w:ascii="仿宋" w:hAnsi="仿宋" w:eastAsia="仿宋" w:cs="仿宋"/>
                <w:color w:val="auto"/>
                <w:sz w:val="24"/>
                <w:szCs w:val="24"/>
                <w:highlight w:val="none"/>
              </w:rPr>
              <w:t>基准价)×10</w:t>
            </w:r>
            <w:r>
              <w:rPr>
                <w:rFonts w:hint="eastAsia" w:ascii="仿宋" w:hAnsi="仿宋" w:eastAsia="仿宋" w:cs="仿宋"/>
                <w:color w:val="auto"/>
                <w:sz w:val="24"/>
                <w:szCs w:val="24"/>
                <w:highlight w:val="none"/>
                <w:lang w:eastAsia="zh-CN"/>
              </w:rPr>
              <w:t>。</w:t>
            </w:r>
          </w:p>
          <w:p>
            <w:pPr>
              <w:pStyle w:val="25"/>
              <w:spacing w:after="0"/>
              <w:ind w:left="0" w:leftChars="0" w:firstLine="0" w:firstLineChars="0"/>
              <w:rPr>
                <w:rFonts w:hint="default"/>
                <w:color w:val="auto"/>
                <w:highlight w:val="none"/>
                <w:lang w:val="en-US"/>
              </w:rPr>
            </w:pPr>
            <w:r>
              <w:rPr>
                <w:rFonts w:hint="eastAsia" w:ascii="仿宋" w:hAnsi="仿宋" w:eastAsia="仿宋" w:cs="仿宋"/>
                <w:color w:val="auto"/>
                <w:sz w:val="24"/>
                <w:szCs w:val="24"/>
                <w:highlight w:val="none"/>
                <w:lang w:val="en-US" w:eastAsia="zh-CN"/>
              </w:rPr>
              <w:t>3、本项最高得分为10分。</w:t>
            </w:r>
          </w:p>
          <w:p>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报价得分四舍五入后，小数点后保留两位有效数。</w:t>
            </w:r>
          </w:p>
        </w:tc>
      </w:tr>
    </w:tbl>
    <w:p>
      <w:pPr>
        <w:rPr>
          <w:rFonts w:hint="eastAsia"/>
          <w:color w:val="auto"/>
          <w:highlight w:val="none"/>
          <w:lang w:val="en-US" w:eastAsia="zh-CN"/>
        </w:rPr>
      </w:pPr>
    </w:p>
    <w:p>
      <w:pPr>
        <w:widowControl/>
        <w:spacing w:line="360" w:lineRule="auto"/>
        <w:ind w:firstLine="480" w:firstLineChars="200"/>
        <w:jc w:val="left"/>
        <w:rPr>
          <w:rFonts w:hint="eastAsia" w:ascii="仿宋" w:hAnsi="仿宋" w:eastAsia="仿宋" w:cs="仿宋"/>
          <w:color w:val="auto"/>
          <w:sz w:val="24"/>
          <w:szCs w:val="24"/>
          <w:highlight w:val="none"/>
          <w:lang w:val="en-US" w:eastAsia="zh-CN"/>
        </w:rPr>
        <w:sectPr>
          <w:pgSz w:w="11906" w:h="16838"/>
          <w:pgMar w:top="1020" w:right="1134" w:bottom="1020" w:left="1134" w:header="567" w:footer="567" w:gutter="0"/>
          <w:cols w:space="0" w:num="1"/>
          <w:docGrid w:type="lines" w:linePitch="312" w:charSpace="0"/>
        </w:sectPr>
      </w:pPr>
      <w:r>
        <w:rPr>
          <w:rFonts w:hint="eastAsia" w:ascii="仿宋" w:hAnsi="仿宋" w:eastAsia="仿宋" w:cs="仿宋"/>
          <w:color w:val="auto"/>
          <w:sz w:val="24"/>
          <w:szCs w:val="24"/>
          <w:highlight w:val="none"/>
          <w:lang w:val="en-US" w:eastAsia="zh-CN"/>
        </w:rPr>
        <w:t>评审小组根据本章规定的评审因素及评审标准对响应文件进行评审，并对通过初步评审的有效响应单位进行详细评审,按照响应单位综合得分由高到低的原则推荐1名成交候选人。综合评分相等时，以响应报价较高低的优先;如果响应报价相同，则技术得分较高的响应单位排序优先。按上述环节依然存在同分情形而不能确认排名顺序时，由评审小组投票决定排名顺序。</w:t>
      </w:r>
    </w:p>
    <w:p>
      <w:pPr>
        <w:pStyle w:val="16"/>
        <w:numPr>
          <w:ilvl w:val="0"/>
          <w:numId w:val="0"/>
        </w:numPr>
        <w:spacing w:line="500" w:lineRule="exact"/>
        <w:jc w:val="center"/>
        <w:rPr>
          <w:rFonts w:hint="eastAsia"/>
          <w:b/>
          <w:bCs/>
          <w:color w:val="auto"/>
          <w:sz w:val="36"/>
          <w:szCs w:val="36"/>
          <w:highlight w:val="none"/>
        </w:rPr>
      </w:pPr>
      <w:r>
        <w:rPr>
          <w:rFonts w:hint="eastAsia" w:ascii="Times New Roman" w:hAnsi="Times New Roman" w:eastAsia="宋体" w:cs="Times New Roman"/>
          <w:b/>
          <w:bCs/>
          <w:color w:val="auto"/>
          <w:kern w:val="2"/>
          <w:sz w:val="36"/>
          <w:szCs w:val="36"/>
          <w:highlight w:val="none"/>
          <w:lang w:val="en-US" w:eastAsia="zh-CN" w:bidi="ar-SA"/>
        </w:rPr>
        <w:t>第五章</w:t>
      </w:r>
      <w:r>
        <w:rPr>
          <w:rFonts w:hint="eastAsia" w:cs="Times New Roman"/>
          <w:b/>
          <w:bCs/>
          <w:color w:val="auto"/>
          <w:kern w:val="2"/>
          <w:sz w:val="36"/>
          <w:szCs w:val="36"/>
          <w:highlight w:val="none"/>
          <w:lang w:val="en-US" w:eastAsia="zh-CN" w:bidi="ar-SA"/>
        </w:rPr>
        <w:t xml:space="preserve"> </w:t>
      </w:r>
      <w:r>
        <w:rPr>
          <w:rFonts w:hint="eastAsia"/>
          <w:b/>
          <w:bCs/>
          <w:color w:val="auto"/>
          <w:sz w:val="36"/>
          <w:szCs w:val="36"/>
          <w:highlight w:val="none"/>
        </w:rPr>
        <w:t>响应文件组成及格式附件</w:t>
      </w:r>
    </w:p>
    <w:p>
      <w:pPr>
        <w:jc w:val="right"/>
        <w:rPr>
          <w:rFonts w:hint="eastAsia" w:ascii="宋体" w:hAnsi="宋体"/>
          <w:b/>
          <w:bCs/>
          <w:color w:val="auto"/>
          <w:sz w:val="28"/>
          <w:szCs w:val="28"/>
          <w:highlight w:val="none"/>
        </w:rPr>
      </w:pPr>
    </w:p>
    <w:p>
      <w:pPr>
        <w:jc w:val="right"/>
        <w:rPr>
          <w:rFonts w:ascii="宋体" w:hAnsi="宋体"/>
          <w:b/>
          <w:bCs/>
          <w:color w:val="auto"/>
          <w:sz w:val="28"/>
          <w:szCs w:val="28"/>
          <w:highlight w:val="none"/>
        </w:rPr>
      </w:pPr>
      <w:r>
        <w:rPr>
          <w:rFonts w:hint="eastAsia" w:ascii="宋体" w:hAnsi="宋体"/>
          <w:b/>
          <w:bCs/>
          <w:color w:val="auto"/>
          <w:sz w:val="28"/>
          <w:szCs w:val="28"/>
          <w:highlight w:val="none"/>
        </w:rPr>
        <w:t>正本或副本</w:t>
      </w:r>
    </w:p>
    <w:p>
      <w:pPr>
        <w:jc w:val="center"/>
        <w:rPr>
          <w:rFonts w:hint="eastAsia" w:ascii="宋体" w:hAnsi="宋体"/>
          <w:b/>
          <w:bCs/>
          <w:color w:val="auto"/>
          <w:sz w:val="44"/>
          <w:szCs w:val="44"/>
          <w:highlight w:val="none"/>
        </w:rPr>
      </w:pPr>
    </w:p>
    <w:p>
      <w:pPr>
        <w:jc w:val="center"/>
        <w:rPr>
          <w:rFonts w:hint="eastAsia" w:ascii="宋体" w:hAnsi="宋体"/>
          <w:b/>
          <w:bCs/>
          <w:color w:val="auto"/>
          <w:sz w:val="44"/>
          <w:szCs w:val="44"/>
          <w:highlight w:val="none"/>
        </w:rPr>
      </w:pPr>
    </w:p>
    <w:p>
      <w:pPr>
        <w:jc w:val="center"/>
        <w:rPr>
          <w:rFonts w:ascii="宋体" w:hAnsi="宋体"/>
          <w:b/>
          <w:bCs/>
          <w:color w:val="auto"/>
          <w:sz w:val="44"/>
          <w:szCs w:val="44"/>
          <w:highlight w:val="none"/>
        </w:rPr>
      </w:pPr>
    </w:p>
    <w:p>
      <w:pPr>
        <w:widowControl/>
        <w:spacing w:line="360" w:lineRule="auto"/>
        <w:jc w:val="center"/>
        <w:outlineLvl w:val="0"/>
        <w:rPr>
          <w:rFonts w:hint="eastAsia" w:ascii="宋体" w:hAnsi="宋体" w:eastAsia="宋体" w:cs="宋体"/>
          <w:b/>
          <w:color w:val="auto"/>
          <w:kern w:val="1"/>
          <w:sz w:val="32"/>
          <w:szCs w:val="32"/>
          <w:highlight w:val="none"/>
          <w:shd w:val="clear" w:color="auto" w:fill="FFFFFF"/>
          <w:lang w:eastAsia="zh-CN"/>
        </w:rPr>
      </w:pPr>
      <w:r>
        <w:rPr>
          <w:rFonts w:hint="eastAsia" w:ascii="宋体" w:hAnsi="宋体" w:cs="宋体"/>
          <w:b/>
          <w:color w:val="auto"/>
          <w:kern w:val="1"/>
          <w:sz w:val="36"/>
          <w:szCs w:val="36"/>
          <w:highlight w:val="none"/>
          <w:shd w:val="clear" w:color="auto" w:fill="FFFFFF"/>
          <w:lang w:eastAsia="zh-CN"/>
        </w:rPr>
        <w:t>中欧餐厅合作联营方招募项目</w:t>
      </w:r>
    </w:p>
    <w:p>
      <w:pPr>
        <w:jc w:val="center"/>
        <w:rPr>
          <w:rFonts w:hint="eastAsia" w:ascii="宋体" w:hAnsi="宋体"/>
          <w:b/>
          <w:bCs/>
          <w:color w:val="auto"/>
          <w:sz w:val="44"/>
          <w:szCs w:val="44"/>
          <w:highlight w:val="none"/>
        </w:rPr>
      </w:pPr>
    </w:p>
    <w:p>
      <w:pPr>
        <w:jc w:val="center"/>
        <w:rPr>
          <w:rFonts w:ascii="宋体" w:hAnsi="宋体"/>
          <w:b/>
          <w:bCs/>
          <w:color w:val="auto"/>
          <w:sz w:val="44"/>
          <w:szCs w:val="44"/>
          <w:highlight w:val="none"/>
        </w:rPr>
      </w:pPr>
    </w:p>
    <w:p>
      <w:pPr>
        <w:jc w:val="center"/>
        <w:rPr>
          <w:rFonts w:ascii="宋体" w:hAnsi="宋体"/>
          <w:b/>
          <w:bCs/>
          <w:color w:val="auto"/>
          <w:sz w:val="72"/>
          <w:szCs w:val="52"/>
          <w:highlight w:val="none"/>
        </w:rPr>
      </w:pPr>
      <w:r>
        <w:rPr>
          <w:rFonts w:hint="eastAsia" w:ascii="宋体" w:hAnsi="宋体"/>
          <w:b/>
          <w:bCs/>
          <w:color w:val="auto"/>
          <w:sz w:val="72"/>
          <w:szCs w:val="52"/>
          <w:highlight w:val="none"/>
          <w:lang w:eastAsia="zh-CN"/>
        </w:rPr>
        <w:t>响应</w:t>
      </w:r>
      <w:r>
        <w:rPr>
          <w:rFonts w:hint="eastAsia" w:ascii="宋体" w:hAnsi="宋体"/>
          <w:b/>
          <w:bCs/>
          <w:color w:val="auto"/>
          <w:sz w:val="72"/>
          <w:szCs w:val="52"/>
          <w:highlight w:val="none"/>
        </w:rPr>
        <w:t>文件</w:t>
      </w:r>
    </w:p>
    <w:p>
      <w:pPr>
        <w:jc w:val="center"/>
        <w:rPr>
          <w:rFonts w:ascii="宋体" w:hAnsi="宋体"/>
          <w:b/>
          <w:bCs/>
          <w:color w:val="auto"/>
          <w:sz w:val="36"/>
          <w:highlight w:val="none"/>
        </w:rPr>
      </w:pPr>
    </w:p>
    <w:p>
      <w:pPr>
        <w:jc w:val="center"/>
        <w:rPr>
          <w:rFonts w:ascii="宋体" w:hAnsi="宋体"/>
          <w:b/>
          <w:bCs/>
          <w:color w:val="auto"/>
          <w:sz w:val="36"/>
          <w:highlight w:val="none"/>
        </w:rPr>
      </w:pPr>
    </w:p>
    <w:p>
      <w:pPr>
        <w:jc w:val="center"/>
        <w:rPr>
          <w:rFonts w:ascii="宋体" w:hAnsi="宋体"/>
          <w:b/>
          <w:bCs/>
          <w:color w:val="auto"/>
          <w:sz w:val="36"/>
          <w:highlight w:val="none"/>
        </w:rPr>
      </w:pPr>
    </w:p>
    <w:p>
      <w:pPr>
        <w:jc w:val="center"/>
        <w:rPr>
          <w:rFonts w:hint="eastAsia" w:ascii="宋体" w:hAnsi="宋体"/>
          <w:b/>
          <w:bCs/>
          <w:color w:val="auto"/>
          <w:sz w:val="36"/>
          <w:highlight w:val="none"/>
        </w:rPr>
      </w:pPr>
    </w:p>
    <w:p>
      <w:pPr>
        <w:jc w:val="center"/>
        <w:rPr>
          <w:rFonts w:ascii="宋体" w:hAnsi="宋体"/>
          <w:b/>
          <w:bCs/>
          <w:color w:val="auto"/>
          <w:sz w:val="36"/>
          <w:highlight w:val="none"/>
        </w:rPr>
      </w:pPr>
    </w:p>
    <w:p>
      <w:pPr>
        <w:pStyle w:val="16"/>
        <w:rPr>
          <w:color w:val="auto"/>
          <w:highlight w:val="none"/>
        </w:rPr>
      </w:pPr>
    </w:p>
    <w:p>
      <w:pPr>
        <w:ind w:firstLine="901" w:firstLineChars="299"/>
        <w:rPr>
          <w:rFonts w:hint="eastAsia" w:ascii="宋体" w:hAnsi="宋体"/>
          <w:b/>
          <w:bCs/>
          <w:color w:val="auto"/>
          <w:sz w:val="30"/>
          <w:highlight w:val="none"/>
        </w:rPr>
      </w:pPr>
      <w:r>
        <w:rPr>
          <w:rFonts w:hint="eastAsia" w:ascii="宋体" w:hAnsi="宋体"/>
          <w:b/>
          <w:bCs/>
          <w:color w:val="auto"/>
          <w:sz w:val="30"/>
          <w:highlight w:val="none"/>
          <w:lang w:eastAsia="zh-CN"/>
        </w:rPr>
        <w:t>响应单位名称</w:t>
      </w:r>
      <w:r>
        <w:rPr>
          <w:rFonts w:hint="eastAsia" w:ascii="宋体" w:hAnsi="宋体"/>
          <w:b/>
          <w:bCs/>
          <w:color w:val="auto"/>
          <w:sz w:val="30"/>
          <w:highlight w:val="none"/>
        </w:rPr>
        <w:t>（公章）：</w:t>
      </w:r>
    </w:p>
    <w:p>
      <w:pPr>
        <w:ind w:firstLine="901" w:firstLineChars="299"/>
        <w:rPr>
          <w:rFonts w:hint="eastAsia" w:ascii="宋体" w:hAnsi="宋体"/>
          <w:b/>
          <w:bCs/>
          <w:color w:val="auto"/>
          <w:sz w:val="30"/>
          <w:highlight w:val="none"/>
          <w:lang w:eastAsia="zh-CN"/>
        </w:rPr>
      </w:pPr>
      <w:r>
        <w:rPr>
          <w:rFonts w:hint="eastAsia" w:ascii="宋体" w:hAnsi="宋体"/>
          <w:b/>
          <w:bCs/>
          <w:color w:val="auto"/>
          <w:sz w:val="30"/>
          <w:highlight w:val="none"/>
          <w:lang w:eastAsia="zh-CN"/>
        </w:rPr>
        <w:t>响应单位地址：</w:t>
      </w:r>
    </w:p>
    <w:p>
      <w:pPr>
        <w:ind w:firstLine="901" w:firstLineChars="299"/>
        <w:rPr>
          <w:rFonts w:ascii="宋体" w:hAnsi="宋体"/>
          <w:b/>
          <w:bCs/>
          <w:color w:val="auto"/>
          <w:sz w:val="30"/>
          <w:highlight w:val="none"/>
          <w:u w:val="single"/>
        </w:rPr>
      </w:pPr>
      <w:r>
        <w:rPr>
          <w:rFonts w:hint="eastAsia" w:ascii="宋体" w:hAnsi="宋体"/>
          <w:b/>
          <w:bCs/>
          <w:color w:val="auto"/>
          <w:sz w:val="30"/>
          <w:highlight w:val="none"/>
          <w:lang w:eastAsia="zh-CN"/>
        </w:rPr>
        <w:t>响应单位联系人及联系方式</w:t>
      </w:r>
      <w:r>
        <w:rPr>
          <w:rFonts w:hint="eastAsia" w:ascii="宋体" w:hAnsi="宋体"/>
          <w:b/>
          <w:bCs/>
          <w:color w:val="auto"/>
          <w:sz w:val="30"/>
          <w:highlight w:val="none"/>
        </w:rPr>
        <w:t>：</w:t>
      </w:r>
      <w:r>
        <w:rPr>
          <w:rFonts w:hint="eastAsia" w:ascii="宋体" w:hAnsi="宋体"/>
          <w:b/>
          <w:bCs/>
          <w:color w:val="auto"/>
          <w:sz w:val="30"/>
          <w:highlight w:val="none"/>
          <w:u w:val="single"/>
        </w:rPr>
        <w:t xml:space="preserve">               </w:t>
      </w:r>
    </w:p>
    <w:p>
      <w:pPr>
        <w:ind w:firstLine="901" w:firstLineChars="299"/>
        <w:rPr>
          <w:rFonts w:ascii="宋体" w:hAnsi="宋体"/>
          <w:b/>
          <w:bCs/>
          <w:color w:val="auto"/>
          <w:sz w:val="30"/>
          <w:highlight w:val="none"/>
          <w:u w:val="single"/>
        </w:rPr>
      </w:pPr>
      <w:r>
        <w:rPr>
          <w:rFonts w:hint="eastAsia" w:ascii="宋体" w:hAnsi="宋体"/>
          <w:b/>
          <w:bCs/>
          <w:color w:val="auto"/>
          <w:sz w:val="30"/>
          <w:highlight w:val="none"/>
        </w:rPr>
        <w:t>编制日期：</w:t>
      </w:r>
      <w:r>
        <w:rPr>
          <w:rFonts w:hint="eastAsia" w:ascii="宋体" w:hAnsi="宋体"/>
          <w:b/>
          <w:bCs/>
          <w:color w:val="auto"/>
          <w:sz w:val="30"/>
          <w:highlight w:val="none"/>
          <w:u w:val="single"/>
        </w:rPr>
        <w:t xml:space="preserve">                 </w:t>
      </w:r>
    </w:p>
    <w:p>
      <w:pPr>
        <w:spacing w:line="360" w:lineRule="auto"/>
        <w:jc w:val="center"/>
        <w:rPr>
          <w:rFonts w:hint="eastAsia" w:ascii="宋体" w:hAnsi="宋体"/>
          <w:b/>
          <w:color w:val="auto"/>
          <w:sz w:val="36"/>
          <w:szCs w:val="36"/>
          <w:highlight w:val="none"/>
        </w:rPr>
      </w:pPr>
    </w:p>
    <w:p>
      <w:pPr>
        <w:spacing w:line="360" w:lineRule="auto"/>
        <w:jc w:val="center"/>
        <w:rPr>
          <w:rFonts w:hint="eastAsia" w:ascii="宋体" w:hAnsi="宋体"/>
          <w:b/>
          <w:color w:val="auto"/>
          <w:sz w:val="36"/>
          <w:szCs w:val="36"/>
          <w:highlight w:val="none"/>
        </w:rPr>
      </w:pPr>
    </w:p>
    <w:p>
      <w:pPr>
        <w:spacing w:line="360" w:lineRule="auto"/>
        <w:jc w:val="center"/>
        <w:rPr>
          <w:rFonts w:ascii="宋体" w:hAnsi="宋体"/>
          <w:b/>
          <w:color w:val="auto"/>
          <w:sz w:val="36"/>
          <w:szCs w:val="36"/>
          <w:highlight w:val="none"/>
        </w:rPr>
        <w:sectPr>
          <w:headerReference r:id="rId5" w:type="default"/>
          <w:footerReference r:id="rId6" w:type="default"/>
          <w:pgSz w:w="11906" w:h="16838"/>
          <w:pgMar w:top="1276" w:right="1469" w:bottom="1276" w:left="1620" w:header="851" w:footer="754" w:gutter="0"/>
          <w:cols w:space="720" w:num="1"/>
          <w:docGrid w:type="lines" w:linePitch="312" w:charSpace="0"/>
        </w:sectPr>
      </w:pPr>
    </w:p>
    <w:p>
      <w:pPr>
        <w:widowControl/>
        <w:spacing w:line="360" w:lineRule="auto"/>
        <w:jc w:val="center"/>
        <w:outlineLvl w:val="0"/>
        <w:rPr>
          <w:rFonts w:hint="eastAsia" w:ascii="宋体" w:hAnsi="宋体" w:eastAsia="宋体" w:cs="宋体"/>
          <w:b/>
          <w:color w:val="auto"/>
          <w:kern w:val="1"/>
          <w:sz w:val="36"/>
          <w:szCs w:val="36"/>
          <w:highlight w:val="none"/>
          <w:shd w:val="clear" w:color="auto" w:fill="FFFFFF"/>
        </w:rPr>
      </w:pPr>
      <w:r>
        <w:rPr>
          <w:rFonts w:hint="eastAsia" w:ascii="宋体" w:hAnsi="宋体" w:eastAsia="宋体" w:cs="宋体"/>
          <w:b/>
          <w:color w:val="auto"/>
          <w:kern w:val="1"/>
          <w:sz w:val="36"/>
          <w:szCs w:val="36"/>
          <w:highlight w:val="none"/>
          <w:shd w:val="clear" w:color="auto" w:fill="FFFFFF"/>
        </w:rPr>
        <w:t>目录</w:t>
      </w:r>
    </w:p>
    <w:p>
      <w:pPr>
        <w:widowControl/>
        <w:spacing w:line="360" w:lineRule="auto"/>
        <w:ind w:firstLine="480" w:firstLineChars="200"/>
        <w:jc w:val="left"/>
        <w:rPr>
          <w:rFonts w:hint="eastAsia" w:ascii="仿宋" w:hAnsi="仿宋" w:eastAsia="仿宋" w:cs="仿宋"/>
          <w:color w:val="auto"/>
          <w:sz w:val="24"/>
          <w:szCs w:val="24"/>
          <w:highlight w:val="none"/>
        </w:rPr>
      </w:pPr>
    </w:p>
    <w:p>
      <w:pPr>
        <w:widowControl/>
        <w:numPr>
          <w:ilvl w:val="0"/>
          <w:numId w:val="0"/>
        </w:num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响应函(</w:t>
      </w:r>
      <w:r>
        <w:rPr>
          <w:rFonts w:hint="eastAsia" w:ascii="仿宋" w:hAnsi="仿宋" w:eastAsia="仿宋" w:cs="仿宋"/>
          <w:color w:val="auto"/>
          <w:sz w:val="28"/>
          <w:szCs w:val="28"/>
          <w:highlight w:val="none"/>
          <w:lang w:eastAsia="zh-CN"/>
        </w:rPr>
        <w:t>含响应</w:t>
      </w:r>
      <w:r>
        <w:rPr>
          <w:rFonts w:hint="eastAsia" w:ascii="仿宋" w:hAnsi="仿宋" w:eastAsia="仿宋" w:cs="仿宋"/>
          <w:color w:val="auto"/>
          <w:sz w:val="28"/>
          <w:szCs w:val="28"/>
          <w:highlight w:val="none"/>
        </w:rPr>
        <w:t>报价)</w:t>
      </w:r>
    </w:p>
    <w:p>
      <w:pPr>
        <w:widowControl/>
        <w:numPr>
          <w:ilvl w:val="0"/>
          <w:numId w:val="0"/>
        </w:num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法定代表人证明或授权委托书</w:t>
      </w:r>
    </w:p>
    <w:p>
      <w:pPr>
        <w:widowControl/>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3.审查资料</w:t>
      </w:r>
    </w:p>
    <w:p>
      <w:pPr>
        <w:widowControl/>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4.响应方案</w:t>
      </w:r>
    </w:p>
    <w:p>
      <w:pPr>
        <w:widowControl/>
        <w:spacing w:line="360" w:lineRule="auto"/>
        <w:ind w:firstLine="560" w:firstLineChars="200"/>
        <w:jc w:val="left"/>
        <w:rPr>
          <w:rFonts w:hint="eastAsia" w:ascii="仿宋" w:hAnsi="仿宋" w:eastAsia="仿宋" w:cs="仿宋"/>
          <w:color w:val="auto"/>
          <w:sz w:val="28"/>
          <w:szCs w:val="28"/>
          <w:highlight w:val="none"/>
        </w:rPr>
        <w:sectPr>
          <w:pgSz w:w="11906" w:h="16838"/>
          <w:pgMar w:top="1020" w:right="1134" w:bottom="1020" w:left="1134" w:header="567" w:footer="567" w:gutter="0"/>
          <w:cols w:space="0" w:num="1"/>
          <w:docGrid w:type="lines" w:linePitch="312" w:charSpace="0"/>
        </w:sect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eastAsia="zh-CN"/>
        </w:rPr>
        <w:t>响应单位</w:t>
      </w:r>
      <w:r>
        <w:rPr>
          <w:rFonts w:hint="eastAsia" w:ascii="仿宋" w:hAnsi="仿宋" w:eastAsia="仿宋" w:cs="仿宋"/>
          <w:color w:val="auto"/>
          <w:sz w:val="28"/>
          <w:szCs w:val="28"/>
          <w:highlight w:val="none"/>
        </w:rPr>
        <w:t>认为需要提供的其他材料(如有)</w:t>
      </w:r>
    </w:p>
    <w:p>
      <w:pPr>
        <w:widowControl/>
        <w:numPr>
          <w:ilvl w:val="0"/>
          <w:numId w:val="0"/>
        </w:numPr>
        <w:spacing w:line="360" w:lineRule="auto"/>
        <w:ind w:firstLine="0" w:firstLineChars="0"/>
        <w:jc w:val="left"/>
        <w:outlineLvl w:val="9"/>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u w:val="none"/>
          <w:lang w:val="en-US" w:eastAsia="zh-CN"/>
        </w:rPr>
        <w:t>1</w:t>
      </w:r>
      <w:r>
        <w:rPr>
          <w:rFonts w:hint="eastAsia" w:ascii="仿宋" w:hAnsi="仿宋" w:eastAsia="仿宋" w:cs="仿宋"/>
          <w:b w:val="0"/>
          <w:color w:val="auto"/>
          <w:sz w:val="28"/>
          <w:szCs w:val="28"/>
          <w:highlight w:val="none"/>
        </w:rPr>
        <w:t>、</w:t>
      </w:r>
      <w:r>
        <w:rPr>
          <w:rFonts w:hint="eastAsia" w:ascii="仿宋" w:hAnsi="仿宋" w:eastAsia="仿宋" w:cs="仿宋"/>
          <w:b w:val="0"/>
          <w:color w:val="auto"/>
          <w:sz w:val="28"/>
          <w:szCs w:val="28"/>
          <w:highlight w:val="none"/>
          <w:lang w:eastAsia="zh-CN"/>
        </w:rPr>
        <w:t>响应</w:t>
      </w:r>
      <w:r>
        <w:rPr>
          <w:rFonts w:hint="eastAsia" w:ascii="仿宋" w:hAnsi="仿宋" w:eastAsia="仿宋" w:cs="仿宋"/>
          <w:b w:val="0"/>
          <w:color w:val="auto"/>
          <w:sz w:val="28"/>
          <w:szCs w:val="28"/>
          <w:highlight w:val="none"/>
        </w:rPr>
        <w:t>函（含</w:t>
      </w:r>
      <w:r>
        <w:rPr>
          <w:rFonts w:hint="eastAsia" w:ascii="仿宋" w:hAnsi="仿宋" w:eastAsia="仿宋" w:cs="仿宋"/>
          <w:b w:val="0"/>
          <w:color w:val="auto"/>
          <w:sz w:val="28"/>
          <w:szCs w:val="28"/>
          <w:highlight w:val="none"/>
          <w:lang w:eastAsia="zh-CN"/>
        </w:rPr>
        <w:t>响应</w:t>
      </w:r>
      <w:r>
        <w:rPr>
          <w:rFonts w:hint="eastAsia" w:ascii="仿宋" w:hAnsi="仿宋" w:eastAsia="仿宋" w:cs="仿宋"/>
          <w:b w:val="0"/>
          <w:color w:val="auto"/>
          <w:sz w:val="28"/>
          <w:szCs w:val="28"/>
          <w:highlight w:val="none"/>
        </w:rPr>
        <w:t>报价）</w:t>
      </w:r>
    </w:p>
    <w:p>
      <w:pPr>
        <w:jc w:val="center"/>
        <w:rPr>
          <w:rFonts w:hint="eastAsia" w:eastAsia="宋体"/>
          <w:b/>
          <w:color w:val="auto"/>
          <w:sz w:val="28"/>
          <w:szCs w:val="28"/>
          <w:highlight w:val="none"/>
          <w:lang w:eastAsia="zh-CN"/>
        </w:rPr>
      </w:pPr>
      <w:r>
        <w:rPr>
          <w:rFonts w:hint="eastAsia"/>
          <w:b/>
          <w:color w:val="auto"/>
          <w:sz w:val="36"/>
          <w:szCs w:val="36"/>
          <w:highlight w:val="none"/>
        </w:rPr>
        <w:t>响应函</w:t>
      </w:r>
    </w:p>
    <w:p>
      <w:pPr>
        <w:snapToGri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（招募方名称）</w:t>
      </w:r>
      <w:r>
        <w:rPr>
          <w:rFonts w:hint="eastAsia" w:ascii="宋体" w:hAnsi="宋体"/>
          <w:color w:val="auto"/>
          <w:sz w:val="24"/>
          <w:highlight w:val="none"/>
          <w:lang w:eastAsia="zh-CN"/>
        </w:rPr>
        <w:t>：</w:t>
      </w:r>
    </w:p>
    <w:p>
      <w:pPr>
        <w:widowControl/>
        <w:snapToGrid w:val="0"/>
        <w:spacing w:line="360" w:lineRule="auto"/>
        <w:rPr>
          <w:rFonts w:hint="eastAsia" w:ascii="微软雅黑" w:hAnsi="微软雅黑" w:eastAsia="微软雅黑" w:cs="宋体"/>
          <w:b/>
          <w:bCs/>
          <w:color w:val="auto"/>
          <w:kern w:val="36"/>
          <w:sz w:val="30"/>
          <w:szCs w:val="30"/>
          <w:highlight w:val="none"/>
        </w:rPr>
      </w:pPr>
      <w:r>
        <w:rPr>
          <w:rFonts w:hint="eastAsia" w:ascii="宋体" w:hAnsi="宋体"/>
          <w:color w:val="auto"/>
          <w:sz w:val="24"/>
          <w:highlight w:val="none"/>
        </w:rPr>
        <w:t xml:space="preserve">    1</w:t>
      </w:r>
      <w:r>
        <w:rPr>
          <w:rFonts w:hint="eastAsia" w:ascii="宋体" w:hAnsi="宋体"/>
          <w:color w:val="auto"/>
          <w:sz w:val="24"/>
          <w:highlight w:val="none"/>
          <w:lang w:val="en-US" w:eastAsia="zh-CN"/>
        </w:rPr>
        <w:t>.</w:t>
      </w:r>
      <w:r>
        <w:rPr>
          <w:rFonts w:hint="eastAsia" w:ascii="宋体" w:hAnsi="宋体"/>
          <w:color w:val="auto"/>
          <w:sz w:val="24"/>
          <w:highlight w:val="none"/>
        </w:rPr>
        <w:t>我方</w:t>
      </w:r>
      <w:r>
        <w:rPr>
          <w:rFonts w:hint="eastAsia" w:ascii="宋体" w:hAnsi="宋体"/>
          <w:color w:val="auto"/>
          <w:sz w:val="24"/>
          <w:highlight w:val="none"/>
          <w:lang w:eastAsia="zh-CN"/>
        </w:rPr>
        <w:t>已仔细研究了</w:t>
      </w:r>
      <w:r>
        <w:rPr>
          <w:rFonts w:hint="eastAsia" w:ascii="宋体" w:hAnsi="宋体"/>
          <w:color w:val="auto"/>
          <w:sz w:val="24"/>
          <w:highlight w:val="none"/>
          <w:u w:val="single"/>
          <w:lang w:val="en-US" w:eastAsia="zh-CN"/>
        </w:rPr>
        <w:t xml:space="preserve">       （项目名称）      </w:t>
      </w:r>
      <w:r>
        <w:rPr>
          <w:rFonts w:hint="eastAsia" w:ascii="宋体" w:hAnsi="宋体"/>
          <w:color w:val="auto"/>
          <w:sz w:val="24"/>
          <w:highlight w:val="none"/>
          <w:lang w:val="en-US" w:eastAsia="zh-CN"/>
        </w:rPr>
        <w:t>招募文件</w:t>
      </w:r>
      <w:r>
        <w:rPr>
          <w:rFonts w:hint="eastAsia" w:ascii="宋体" w:hAnsi="宋体"/>
          <w:color w:val="auto"/>
          <w:sz w:val="24"/>
          <w:highlight w:val="none"/>
          <w:lang w:eastAsia="zh-CN"/>
        </w:rPr>
        <w:t>的全部内容，愿意以</w:t>
      </w:r>
      <w:r>
        <w:rPr>
          <w:rFonts w:hint="eastAsia" w:ascii="宋体" w:hAnsi="宋体"/>
          <w:b/>
          <w:bCs/>
          <w:color w:val="auto"/>
          <w:sz w:val="24"/>
          <w:highlight w:val="none"/>
          <w:u w:val="none"/>
          <w:lang w:eastAsia="zh-CN"/>
        </w:rPr>
        <w:t>响应</w:t>
      </w:r>
      <w:r>
        <w:rPr>
          <w:rFonts w:hint="eastAsia" w:ascii="宋体" w:hAnsi="宋体"/>
          <w:b/>
          <w:bCs/>
          <w:color w:val="auto"/>
          <w:sz w:val="24"/>
          <w:highlight w:val="none"/>
          <w:u w:val="none"/>
        </w:rPr>
        <w:t>报价</w:t>
      </w:r>
      <w:r>
        <w:rPr>
          <w:rFonts w:hint="eastAsia" w:ascii="宋体" w:hAnsi="宋体"/>
          <w:b/>
          <w:bCs/>
          <w:color w:val="auto"/>
          <w:sz w:val="24"/>
          <w:highlight w:val="none"/>
          <w:u w:val="none"/>
          <w:lang w:eastAsia="zh-CN"/>
        </w:rPr>
        <w:t>单价</w:t>
      </w:r>
      <w:r>
        <w:rPr>
          <w:rFonts w:hint="eastAsia" w:ascii="宋体" w:hAnsi="宋体"/>
          <w:b/>
          <w:bCs/>
          <w:color w:val="auto"/>
          <w:sz w:val="24"/>
          <w:highlight w:val="none"/>
          <w:u w:val="none"/>
        </w:rPr>
        <w:t>（含税）：小写</w:t>
      </w:r>
      <w:r>
        <w:rPr>
          <w:rFonts w:hint="eastAsia" w:ascii="宋体" w:hAnsi="宋体"/>
          <w:b/>
          <w:bCs/>
          <w:color w:val="auto"/>
          <w:sz w:val="24"/>
          <w:highlight w:val="none"/>
          <w:u w:val="none"/>
          <w:lang w:val="en-US" w:eastAsia="zh-CN"/>
        </w:rPr>
        <w:t>¥</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none"/>
        </w:rPr>
        <w:t>元</w:t>
      </w:r>
      <w:r>
        <w:rPr>
          <w:rFonts w:hint="eastAsia" w:ascii="宋体" w:hAnsi="宋体"/>
          <w:b/>
          <w:bCs/>
          <w:color w:val="auto"/>
          <w:sz w:val="24"/>
          <w:highlight w:val="none"/>
          <w:u w:val="none"/>
          <w:lang w:val="en-US" w:eastAsia="zh-CN"/>
        </w:rPr>
        <w:t>/年</w:t>
      </w:r>
      <w:r>
        <w:rPr>
          <w:rFonts w:hint="eastAsia" w:ascii="宋体" w:hAnsi="宋体"/>
          <w:b/>
          <w:bCs/>
          <w:color w:val="auto"/>
          <w:sz w:val="24"/>
          <w:highlight w:val="none"/>
          <w:u w:val="none"/>
        </w:rPr>
        <w:t>，</w:t>
      </w:r>
      <w:r>
        <w:rPr>
          <w:rFonts w:hint="eastAsia" w:ascii="宋体" w:hAnsi="宋体"/>
          <w:b/>
          <w:bCs/>
          <w:color w:val="auto"/>
          <w:sz w:val="24"/>
          <w:highlight w:val="none"/>
          <w:u w:val="none"/>
          <w:lang w:eastAsia="zh-CN"/>
        </w:rPr>
        <w:t>响应</w:t>
      </w:r>
      <w:r>
        <w:rPr>
          <w:rFonts w:hint="eastAsia" w:ascii="宋体" w:hAnsi="宋体"/>
          <w:b/>
          <w:bCs/>
          <w:color w:val="auto"/>
          <w:sz w:val="24"/>
          <w:highlight w:val="none"/>
          <w:u w:val="none"/>
        </w:rPr>
        <w:t>报价总价（含税）：小写</w:t>
      </w:r>
      <w:r>
        <w:rPr>
          <w:rFonts w:hint="eastAsia" w:ascii="宋体" w:hAnsi="宋体"/>
          <w:b/>
          <w:bCs/>
          <w:color w:val="auto"/>
          <w:sz w:val="24"/>
          <w:highlight w:val="none"/>
          <w:u w:val="none"/>
          <w:lang w:val="en-US" w:eastAsia="zh-CN"/>
        </w:rPr>
        <w:t>¥</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none"/>
        </w:rPr>
        <w:t>元，大写人民币</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none"/>
          <w:lang w:eastAsia="zh-CN"/>
        </w:rPr>
        <w:t>元</w:t>
      </w:r>
      <w:r>
        <w:rPr>
          <w:rFonts w:hint="eastAsia" w:ascii="宋体" w:hAnsi="宋体"/>
          <w:color w:val="auto"/>
          <w:sz w:val="24"/>
          <w:highlight w:val="none"/>
          <w:lang w:eastAsia="zh-CN"/>
        </w:rPr>
        <w:t>完成本</w:t>
      </w:r>
      <w:r>
        <w:rPr>
          <w:rFonts w:hint="eastAsia" w:ascii="宋体" w:hAnsi="宋体"/>
          <w:color w:val="auto"/>
          <w:sz w:val="24"/>
          <w:highlight w:val="none"/>
        </w:rPr>
        <w:t>项目</w:t>
      </w:r>
      <w:r>
        <w:rPr>
          <w:rFonts w:hint="eastAsia" w:ascii="宋体" w:hAnsi="宋体"/>
          <w:color w:val="auto"/>
          <w:sz w:val="24"/>
          <w:highlight w:val="none"/>
          <w:lang w:eastAsia="zh-CN"/>
        </w:rPr>
        <w:t>服务</w:t>
      </w:r>
      <w:r>
        <w:rPr>
          <w:rFonts w:hint="eastAsia" w:ascii="宋体" w:hAnsi="宋体"/>
          <w:color w:val="auto"/>
          <w:sz w:val="24"/>
          <w:highlight w:val="none"/>
        </w:rPr>
        <w:t>，且</w:t>
      </w:r>
      <w:r>
        <w:rPr>
          <w:rFonts w:hint="eastAsia" w:ascii="宋体" w:hAnsi="宋体"/>
          <w:color w:val="auto"/>
          <w:sz w:val="24"/>
          <w:highlight w:val="none"/>
          <w:lang w:eastAsia="zh-CN"/>
        </w:rPr>
        <w:t>响应</w:t>
      </w:r>
      <w:r>
        <w:rPr>
          <w:rFonts w:hint="eastAsia" w:ascii="宋体" w:hAnsi="宋体"/>
          <w:color w:val="auto"/>
          <w:sz w:val="24"/>
          <w:highlight w:val="none"/>
        </w:rPr>
        <w:t>报价已考虑各种影响因素（含额外工作、附加工作及可能的</w:t>
      </w:r>
      <w:r>
        <w:rPr>
          <w:rFonts w:hint="eastAsia" w:ascii="宋体" w:hAnsi="宋体"/>
          <w:color w:val="auto"/>
          <w:sz w:val="24"/>
          <w:highlight w:val="none"/>
          <w:lang w:eastAsia="zh-CN"/>
        </w:rPr>
        <w:t>合作</w:t>
      </w:r>
      <w:r>
        <w:rPr>
          <w:rFonts w:hint="eastAsia" w:ascii="宋体" w:hAnsi="宋体"/>
          <w:color w:val="auto"/>
          <w:sz w:val="24"/>
          <w:highlight w:val="none"/>
        </w:rPr>
        <w:t>期</w:t>
      </w:r>
      <w:r>
        <w:rPr>
          <w:rFonts w:hint="eastAsia" w:ascii="宋体" w:hAnsi="宋体"/>
          <w:color w:val="auto"/>
          <w:sz w:val="24"/>
          <w:highlight w:val="none"/>
          <w:lang w:eastAsia="zh-CN"/>
        </w:rPr>
        <w:t>延续</w:t>
      </w:r>
      <w:r>
        <w:rPr>
          <w:rFonts w:hint="eastAsia" w:ascii="宋体" w:hAnsi="宋体"/>
          <w:color w:val="auto"/>
          <w:sz w:val="24"/>
          <w:highlight w:val="none"/>
        </w:rPr>
        <w:t>）等。</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我方响应文件包括以下内容：</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lang w:eastAsia="zh-CN"/>
        </w:rPr>
        <w:t>(1)响应函(含响应报价)。</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lang w:eastAsia="zh-CN"/>
        </w:rPr>
        <w:t>(2)法定代表人证明或授权委托书。</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3</w:t>
      </w:r>
      <w:r>
        <w:rPr>
          <w:rFonts w:hint="eastAsia" w:ascii="宋体" w:hAnsi="宋体"/>
          <w:color w:val="auto"/>
          <w:sz w:val="24"/>
          <w:highlight w:val="none"/>
          <w:lang w:eastAsia="zh-CN"/>
        </w:rPr>
        <w:t>)审查资料。</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)响应方案。</w:t>
      </w:r>
    </w:p>
    <w:p>
      <w:pPr>
        <w:snapToGrid w:val="0"/>
        <w:spacing w:line="360" w:lineRule="auto"/>
        <w:ind w:firstLine="480"/>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)响应单位认为需要提供的其他材料(如有)</w:t>
      </w:r>
    </w:p>
    <w:p>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我方已详细审核、明白并认可公告中的全部内容，包括有关附件，如果因误解而造成的一切后果我方愿意自行承担。</w:t>
      </w:r>
    </w:p>
    <w:p>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4.</w:t>
      </w:r>
      <w:r>
        <w:rPr>
          <w:rFonts w:hint="eastAsia" w:ascii="宋体" w:hAnsi="宋体"/>
          <w:color w:val="auto"/>
          <w:sz w:val="24"/>
          <w:highlight w:val="none"/>
        </w:rPr>
        <w:t>一旦我方</w:t>
      </w:r>
      <w:r>
        <w:rPr>
          <w:rFonts w:hint="eastAsia" w:ascii="宋体" w:hAnsi="宋体"/>
          <w:color w:val="auto"/>
          <w:sz w:val="24"/>
          <w:highlight w:val="none"/>
          <w:lang w:eastAsia="zh-CN"/>
        </w:rPr>
        <w:t>确认为合作单位</w:t>
      </w:r>
      <w:r>
        <w:rPr>
          <w:rFonts w:hint="eastAsia" w:ascii="宋体" w:hAnsi="宋体"/>
          <w:color w:val="auto"/>
          <w:sz w:val="24"/>
          <w:highlight w:val="none"/>
        </w:rPr>
        <w:t>，我方承诺按公告（合同协议书）规定的</w:t>
      </w:r>
      <w:r>
        <w:rPr>
          <w:rFonts w:hint="eastAsia" w:ascii="宋体" w:hAnsi="宋体"/>
          <w:color w:val="auto"/>
          <w:sz w:val="24"/>
          <w:highlight w:val="none"/>
          <w:lang w:eastAsia="zh-CN"/>
        </w:rPr>
        <w:t>合作</w:t>
      </w:r>
      <w:r>
        <w:rPr>
          <w:rFonts w:hint="eastAsia" w:ascii="宋体" w:hAnsi="宋体"/>
          <w:color w:val="auto"/>
          <w:sz w:val="24"/>
          <w:highlight w:val="none"/>
        </w:rPr>
        <w:t>期</w:t>
      </w:r>
      <w:r>
        <w:rPr>
          <w:rFonts w:hint="eastAsia" w:ascii="宋体" w:hAnsi="宋体"/>
          <w:color w:val="auto"/>
          <w:sz w:val="24"/>
          <w:highlight w:val="none"/>
          <w:lang w:eastAsia="zh-CN"/>
        </w:rPr>
        <w:t>提供</w:t>
      </w:r>
      <w:r>
        <w:rPr>
          <w:rFonts w:hint="eastAsia" w:ascii="宋体" w:hAnsi="宋体"/>
          <w:color w:val="auto"/>
          <w:sz w:val="24"/>
          <w:highlight w:val="none"/>
        </w:rPr>
        <w:t>高品质的餐饮服务</w:t>
      </w:r>
      <w:r>
        <w:rPr>
          <w:rFonts w:hint="eastAsia" w:ascii="宋体" w:hAnsi="宋体"/>
          <w:color w:val="auto"/>
          <w:sz w:val="24"/>
          <w:highlight w:val="none"/>
          <w:lang w:eastAsia="zh-CN"/>
        </w:rPr>
        <w:t>，配合他现场管理</w:t>
      </w:r>
      <w:r>
        <w:rPr>
          <w:rFonts w:hint="eastAsia" w:ascii="宋体" w:hAnsi="宋体"/>
          <w:color w:val="auto"/>
          <w:sz w:val="24"/>
          <w:highlight w:val="none"/>
        </w:rPr>
        <w:t>。</w:t>
      </w:r>
    </w:p>
    <w:p>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5.</w:t>
      </w:r>
      <w:r>
        <w:rPr>
          <w:rFonts w:hint="eastAsia" w:ascii="宋体" w:hAnsi="宋体"/>
          <w:color w:val="auto"/>
          <w:sz w:val="24"/>
          <w:highlight w:val="none"/>
        </w:rPr>
        <w:t>我方承诺本单位在</w:t>
      </w:r>
      <w:r>
        <w:rPr>
          <w:rFonts w:hint="eastAsia" w:ascii="宋体" w:hAnsi="宋体"/>
          <w:color w:val="auto"/>
          <w:sz w:val="24"/>
          <w:highlight w:val="none"/>
          <w:lang w:eastAsia="zh-CN"/>
        </w:rPr>
        <w:t>响应</w:t>
      </w:r>
      <w:r>
        <w:rPr>
          <w:rFonts w:hint="eastAsia" w:ascii="宋体" w:hAnsi="宋体"/>
          <w:color w:val="auto"/>
          <w:sz w:val="24"/>
          <w:highlight w:val="none"/>
        </w:rPr>
        <w:t>时提供的全部资料均完全真实有效，无瞒报不利资料，亦无</w:t>
      </w:r>
      <w:r>
        <w:rPr>
          <w:rFonts w:hint="eastAsia" w:ascii="宋体" w:hAnsi="宋体"/>
          <w:color w:val="auto"/>
          <w:sz w:val="24"/>
          <w:highlight w:val="none"/>
          <w:lang w:eastAsia="zh-CN"/>
        </w:rPr>
        <w:t>存在</w:t>
      </w:r>
      <w:r>
        <w:rPr>
          <w:rFonts w:hint="eastAsia" w:ascii="宋体" w:hAnsi="宋体"/>
          <w:color w:val="auto"/>
          <w:sz w:val="24"/>
          <w:highlight w:val="none"/>
        </w:rPr>
        <w:t>不法行为，</w:t>
      </w:r>
      <w:r>
        <w:rPr>
          <w:rFonts w:hint="eastAsia" w:ascii="宋体" w:hAnsi="宋体"/>
          <w:color w:val="auto"/>
          <w:sz w:val="24"/>
          <w:highlight w:val="none"/>
          <w:lang w:eastAsia="zh-CN"/>
        </w:rPr>
        <w:t>你方</w:t>
      </w:r>
      <w:r>
        <w:rPr>
          <w:rFonts w:hint="eastAsia" w:ascii="宋体" w:hAnsi="宋体"/>
          <w:color w:val="auto"/>
          <w:sz w:val="24"/>
          <w:highlight w:val="none"/>
        </w:rPr>
        <w:t>如发现存在虚假情况，我方愿意承担一切由此产生的后果，</w:t>
      </w:r>
      <w:r>
        <w:rPr>
          <w:rFonts w:hint="eastAsia" w:ascii="宋体" w:hAnsi="宋体"/>
          <w:color w:val="auto"/>
          <w:sz w:val="24"/>
          <w:highlight w:val="none"/>
          <w:lang w:eastAsia="zh-CN"/>
        </w:rPr>
        <w:t>你方</w:t>
      </w:r>
      <w:r>
        <w:rPr>
          <w:rFonts w:hint="eastAsia" w:ascii="宋体" w:hAnsi="宋体"/>
          <w:color w:val="auto"/>
          <w:sz w:val="24"/>
          <w:highlight w:val="none"/>
        </w:rPr>
        <w:t>有权废除</w:t>
      </w:r>
      <w:r>
        <w:rPr>
          <w:rFonts w:hint="eastAsia" w:ascii="宋体" w:hAnsi="宋体"/>
          <w:color w:val="auto"/>
          <w:sz w:val="24"/>
          <w:highlight w:val="none"/>
          <w:lang w:eastAsia="zh-CN"/>
        </w:rPr>
        <w:t>合作资格</w:t>
      </w:r>
      <w:r>
        <w:rPr>
          <w:rFonts w:hint="eastAsia" w:ascii="宋体" w:hAnsi="宋体"/>
          <w:color w:val="auto"/>
          <w:sz w:val="24"/>
          <w:highlight w:val="none"/>
        </w:rPr>
        <w:t>或终止合同等在内的一切行为。</w:t>
      </w:r>
    </w:p>
    <w:p>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6.</w:t>
      </w:r>
      <w:r>
        <w:rPr>
          <w:rFonts w:hint="eastAsia" w:ascii="宋体" w:hAnsi="宋体"/>
          <w:color w:val="auto"/>
          <w:sz w:val="24"/>
          <w:highlight w:val="none"/>
        </w:rPr>
        <w:t>如果我方</w:t>
      </w:r>
      <w:r>
        <w:rPr>
          <w:rFonts w:hint="eastAsia" w:ascii="宋体" w:hAnsi="宋体"/>
          <w:color w:val="auto"/>
          <w:sz w:val="24"/>
          <w:highlight w:val="none"/>
          <w:lang w:eastAsia="zh-CN"/>
        </w:rPr>
        <w:t>确认为合作单位</w:t>
      </w:r>
      <w:r>
        <w:rPr>
          <w:rFonts w:hint="eastAsia" w:ascii="宋体" w:hAnsi="宋体"/>
          <w:color w:val="auto"/>
          <w:sz w:val="24"/>
          <w:highlight w:val="none"/>
        </w:rPr>
        <w:t>，我方保证本项目的人员按文件的承诺按时足员到位。</w:t>
      </w:r>
    </w:p>
    <w:p>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lang w:val="en-US" w:eastAsia="zh-CN"/>
        </w:rPr>
        <w:t>7.</w:t>
      </w:r>
      <w:r>
        <w:rPr>
          <w:rFonts w:hint="eastAsia" w:ascii="宋体" w:hAnsi="宋体"/>
          <w:color w:val="auto"/>
          <w:sz w:val="24"/>
          <w:highlight w:val="none"/>
        </w:rPr>
        <w:t>除非另外达成协议并生效，你方的</w:t>
      </w:r>
      <w:r>
        <w:rPr>
          <w:rFonts w:hint="eastAsia" w:ascii="宋体" w:hAnsi="宋体"/>
          <w:color w:val="auto"/>
          <w:sz w:val="24"/>
          <w:highlight w:val="none"/>
          <w:lang w:eastAsia="zh-CN"/>
        </w:rPr>
        <w:t>合作</w:t>
      </w:r>
      <w:r>
        <w:rPr>
          <w:rFonts w:hint="eastAsia" w:ascii="宋体" w:hAnsi="宋体"/>
          <w:color w:val="auto"/>
          <w:sz w:val="24"/>
          <w:highlight w:val="none"/>
        </w:rPr>
        <w:t>通知书和本</w:t>
      </w:r>
      <w:r>
        <w:rPr>
          <w:rFonts w:hint="eastAsia" w:ascii="宋体" w:hAnsi="宋体"/>
          <w:color w:val="auto"/>
          <w:sz w:val="24"/>
          <w:highlight w:val="none"/>
          <w:lang w:eastAsia="zh-CN"/>
        </w:rPr>
        <w:t>公告</w:t>
      </w:r>
      <w:r>
        <w:rPr>
          <w:rFonts w:hint="eastAsia" w:ascii="宋体" w:hAnsi="宋体"/>
          <w:color w:val="auto"/>
          <w:sz w:val="24"/>
          <w:highlight w:val="none"/>
        </w:rPr>
        <w:t>文件将成为约束双方的合同文件的组成部分。</w:t>
      </w:r>
    </w:p>
    <w:p>
      <w:pPr>
        <w:snapToGrid w:val="0"/>
        <w:spacing w:line="360" w:lineRule="auto"/>
        <w:ind w:firstLine="48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8.（其他补充说明）。</w:t>
      </w:r>
    </w:p>
    <w:p>
      <w:pPr>
        <w:spacing w:line="360" w:lineRule="auto"/>
        <w:jc w:val="left"/>
        <w:rPr>
          <w:rFonts w:hint="eastAsia" w:ascii="宋体" w:hAnsi="宋体"/>
          <w:color w:val="auto"/>
          <w:sz w:val="24"/>
          <w:highlight w:val="none"/>
        </w:rPr>
      </w:pPr>
    </w:p>
    <w:p>
      <w:pPr>
        <w:spacing w:line="360" w:lineRule="auto"/>
        <w:jc w:val="left"/>
        <w:rPr>
          <w:rFonts w:hint="eastAsia" w:ascii="宋体" w:hAnsi="宋体"/>
          <w:color w:val="auto"/>
          <w:sz w:val="24"/>
          <w:highlight w:val="none"/>
        </w:rPr>
      </w:pPr>
      <w:r>
        <w:rPr>
          <w:rFonts w:hint="eastAsia" w:ascii="宋体" w:hAnsi="宋体"/>
          <w:color w:val="auto"/>
          <w:sz w:val="24"/>
          <w:highlight w:val="none"/>
          <w:lang w:eastAsia="zh-CN"/>
        </w:rPr>
        <w:t>响应单位</w:t>
      </w:r>
      <w:r>
        <w:rPr>
          <w:rFonts w:hint="eastAsia" w:ascii="宋体" w:hAnsi="宋体"/>
          <w:color w:val="auto"/>
          <w:sz w:val="24"/>
          <w:highlight w:val="none"/>
        </w:rPr>
        <w:t>：_________________________________________________（盖章）</w:t>
      </w:r>
    </w:p>
    <w:p>
      <w:pPr>
        <w:spacing w:line="360" w:lineRule="auto"/>
        <w:jc w:val="left"/>
        <w:rPr>
          <w:rFonts w:hint="eastAsia" w:ascii="宋体" w:hAnsi="宋体"/>
          <w:color w:val="auto"/>
          <w:sz w:val="24"/>
          <w:highlight w:val="none"/>
        </w:rPr>
      </w:pPr>
      <w:r>
        <w:rPr>
          <w:rFonts w:hint="eastAsia" w:ascii="宋体" w:hAnsi="宋体"/>
          <w:color w:val="auto"/>
          <w:sz w:val="24"/>
          <w:highlight w:val="none"/>
        </w:rPr>
        <w:t>单位地址：______________________________________________________</w:t>
      </w:r>
    </w:p>
    <w:p>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法定代表人或其委托代理人：________________________（签字或盖章）</w:t>
      </w:r>
    </w:p>
    <w:p>
      <w:pPr>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邮政编码：______________ 电话：_______________ </w:t>
      </w:r>
    </w:p>
    <w:p>
      <w:pPr>
        <w:spacing w:line="360" w:lineRule="auto"/>
        <w:jc w:val="left"/>
        <w:rPr>
          <w:rFonts w:hint="eastAsia" w:ascii="宋体" w:hAnsi="宋体"/>
          <w:color w:val="auto"/>
          <w:sz w:val="24"/>
          <w:highlight w:val="none"/>
        </w:rPr>
      </w:pPr>
      <w:r>
        <w:rPr>
          <w:rFonts w:hint="eastAsia" w:ascii="宋体" w:hAnsi="宋体"/>
          <w:color w:val="auto"/>
          <w:sz w:val="24"/>
          <w:highlight w:val="none"/>
        </w:rPr>
        <w:t>日期：_____________年_______月</w:t>
      </w:r>
      <w:r>
        <w:rPr>
          <w:rFonts w:ascii="宋体" w:hAnsi="宋体"/>
          <w:color w:val="auto"/>
          <w:sz w:val="24"/>
          <w:highlight w:val="none"/>
        </w:rPr>
        <w:t>_______</w:t>
      </w:r>
      <w:r>
        <w:rPr>
          <w:rFonts w:hint="eastAsia" w:ascii="宋体" w:hAnsi="宋体"/>
          <w:color w:val="auto"/>
          <w:sz w:val="24"/>
          <w:highlight w:val="none"/>
        </w:rPr>
        <w:t>日</w:t>
      </w:r>
    </w:p>
    <w:p>
      <w:pPr>
        <w:pStyle w:val="16"/>
        <w:spacing w:line="360" w:lineRule="auto"/>
        <w:rPr>
          <w:rFonts w:hint="eastAsia"/>
          <w:color w:val="auto"/>
          <w:highlight w:val="none"/>
        </w:rPr>
        <w:sectPr>
          <w:pgSz w:w="11906" w:h="16838"/>
          <w:pgMar w:top="1020" w:right="1134" w:bottom="1020" w:left="1134" w:header="567" w:footer="567" w:gutter="0"/>
          <w:cols w:space="0" w:num="1"/>
          <w:docGrid w:type="lines" w:linePitch="312" w:charSpace="0"/>
        </w:sectPr>
      </w:pPr>
    </w:p>
    <w:p>
      <w:pPr>
        <w:widowControl/>
        <w:numPr>
          <w:ilvl w:val="0"/>
          <w:numId w:val="0"/>
        </w:numPr>
        <w:spacing w:line="360" w:lineRule="auto"/>
        <w:jc w:val="left"/>
        <w:outlineLvl w:val="9"/>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法定代表人证明或授权委托书</w:t>
      </w:r>
    </w:p>
    <w:p>
      <w:pPr>
        <w:spacing w:line="480" w:lineRule="exact"/>
        <w:jc w:val="center"/>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（1）法定代表人/负责人资格证明书</w:t>
      </w:r>
    </w:p>
    <w:p>
      <w:pPr>
        <w:spacing w:line="480" w:lineRule="exact"/>
        <w:rPr>
          <w:rFonts w:hint="eastAsia" w:ascii="仿宋_GB2312" w:hAnsi="仿宋" w:eastAsia="仿宋_GB2312"/>
          <w:color w:val="auto"/>
          <w:szCs w:val="21"/>
          <w:highlight w:val="none"/>
        </w:rPr>
      </w:pPr>
    </w:p>
    <w:p>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招募方名称</w:t>
      </w:r>
      <w:r>
        <w:rPr>
          <w:rFonts w:hint="eastAsia" w:ascii="仿宋" w:hAnsi="仿宋" w:eastAsia="仿宋" w:cs="仿宋"/>
          <w:color w:val="auto"/>
          <w:sz w:val="24"/>
          <w:szCs w:val="24"/>
          <w:highlight w:val="none"/>
          <w:u w:val="single"/>
        </w:rPr>
        <w:t>）</w:t>
      </w:r>
    </w:p>
    <w:p>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同志，现任我单位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职务，为法定代表人，特此证明。</w:t>
      </w:r>
    </w:p>
    <w:p>
      <w:pPr>
        <w:spacing w:line="44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（盖章）</w:t>
      </w:r>
    </w:p>
    <w:p>
      <w:pPr>
        <w:spacing w:line="44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附：代表人性别：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p>
    <w:p>
      <w:pPr>
        <w:spacing w:line="44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rPr>
        <w:t xml:space="preserve">               </w:t>
      </w:r>
    </w:p>
    <w:p>
      <w:pPr>
        <w:spacing w:line="44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营业执照号码：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经济性质</w:t>
      </w:r>
      <w:r>
        <w:rPr>
          <w:rFonts w:hint="eastAsia" w:ascii="仿宋" w:hAnsi="仿宋" w:eastAsia="仿宋" w:cs="仿宋"/>
          <w:color w:val="auto"/>
          <w:sz w:val="24"/>
          <w:szCs w:val="24"/>
          <w:highlight w:val="none"/>
          <w:u w:val="single"/>
        </w:rPr>
        <w:t xml:space="preserve">：                          </w:t>
      </w:r>
    </w:p>
    <w:p>
      <w:pPr>
        <w:spacing w:line="440" w:lineRule="exact"/>
        <w:rPr>
          <w:rFonts w:hint="eastAsia" w:ascii="仿宋" w:hAnsi="仿宋" w:eastAsia="仿宋" w:cs="仿宋"/>
          <w:color w:val="auto"/>
          <w:sz w:val="24"/>
          <w:szCs w:val="24"/>
          <w:highlight w:val="none"/>
        </w:rPr>
      </w:pPr>
    </w:p>
    <w:p>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pPr>
        <w:spacing w:line="44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pPr>
        <w:rPr>
          <w:rFonts w:hint="eastAsia" w:ascii="仿宋" w:hAnsi="仿宋" w:eastAsia="仿宋" w:cs="仿宋"/>
          <w:color w:val="auto"/>
          <w:sz w:val="24"/>
          <w:szCs w:val="24"/>
          <w:highlight w:val="none"/>
        </w:rPr>
      </w:pPr>
    </w:p>
    <w:p>
      <w:pPr>
        <w:rPr>
          <w:rFonts w:hint="eastAsia" w:ascii="仿宋" w:hAnsi="仿宋" w:eastAsia="仿宋" w:cs="仿宋"/>
          <w:b/>
          <w:color w:val="auto"/>
          <w:sz w:val="24"/>
          <w:szCs w:val="24"/>
          <w:highlight w:val="none"/>
        </w:rPr>
      </w:pPr>
      <w:r>
        <w:rPr>
          <w:rFonts w:ascii="仿宋_GB2312" w:hAnsi="仿宋" w:eastAsia="仿宋_GB2312"/>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1125855</wp:posOffset>
                </wp:positionH>
                <wp:positionV relativeFrom="paragraph">
                  <wp:posOffset>936625</wp:posOffset>
                </wp:positionV>
                <wp:extent cx="3886200" cy="2278380"/>
                <wp:effectExtent l="4445" t="4445" r="14605" b="22225"/>
                <wp:wrapSquare wrapText="bothSides"/>
                <wp:docPr id="6" name="流程图: 可选过程 6"/>
                <wp:cNvGraphicFramePr/>
                <a:graphic xmlns:a="http://schemas.openxmlformats.org/drawingml/2006/main">
                  <a:graphicData uri="http://schemas.microsoft.com/office/word/2010/wordprocessingShape">
                    <wps:wsp>
                      <wps:cNvSpPr>
                        <a:spLocks noRot="1"/>
                      </wps:cNvSpPr>
                      <wps:spPr>
                        <a:xfrm>
                          <a:off x="0" y="0"/>
                          <a:ext cx="3886200" cy="22783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wps:txbx>
                      <wps:bodyPr upright="1"/>
                    </wps:wsp>
                  </a:graphicData>
                </a:graphic>
              </wp:anchor>
            </w:drawing>
          </mc:Choice>
          <mc:Fallback>
            <w:pict>
              <v:shape id="_x0000_s1026" o:spid="_x0000_s1026" o:spt="176" type="#_x0000_t176" style="position:absolute;left:0pt;margin-left:88.65pt;margin-top:73.75pt;height:179.4pt;width:306pt;mso-wrap-distance-bottom:0pt;mso-wrap-distance-left:9pt;mso-wrap-distance-right:9pt;mso-wrap-distance-top:0pt;z-index:251660288;mso-width-relative:page;mso-height-relative:page;" fillcolor="#FFFFFF" filled="t" stroked="t" coordsize="21600,21600" o:gfxdata="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kWw9GdkAAAALAQAADwAAAAAAAAABACAAAAAiAAAAZHJzL2Rv&#10;d25yZXYueG1sUEsBAhQAFAAAAAgAh07iQOKHg7c5AgAAcwQAAA4AAAAAAAAAAQAgAAAAKAEAAGRy&#10;cy9lMm9Eb2MueG1sUEsFBgAAAAAGAAYAWQEAANMFAAAAAA==&#10;">
                <v:fill on="t" focussize="0,0"/>
                <v:stroke color="#000000" joinstyle="miter"/>
                <v:imagedata o:title=""/>
                <o:lock v:ext="edit" rotation="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v:textbox>
                <w10:wrap type="square"/>
              </v:shape>
            </w:pict>
          </mc:Fallback>
        </mc:AlternateContent>
      </w:r>
      <w:r>
        <w:rPr>
          <w:rFonts w:hint="eastAsia" w:ascii="仿宋" w:hAnsi="仿宋" w:eastAsia="仿宋" w:cs="仿宋"/>
          <w:color w:val="auto"/>
          <w:sz w:val="24"/>
          <w:szCs w:val="24"/>
          <w:highlight w:val="none"/>
        </w:rPr>
        <w:t xml:space="preserve"> </w:t>
      </w:r>
      <w:r>
        <w:rPr>
          <w:rFonts w:hint="eastAsia" w:ascii="仿宋" w:hAnsi="仿宋" w:eastAsia="仿宋" w:cs="仿宋"/>
          <w:b/>
          <w:color w:val="auto"/>
          <w:sz w:val="24"/>
          <w:szCs w:val="24"/>
          <w:highlight w:val="none"/>
        </w:rPr>
        <w:t xml:space="preserve"> (为避免废标，请</w:t>
      </w:r>
      <w:r>
        <w:rPr>
          <w:rFonts w:hint="eastAsia" w:ascii="仿宋" w:hAnsi="仿宋" w:eastAsia="仿宋" w:cs="仿宋"/>
          <w:b/>
          <w:color w:val="auto"/>
          <w:sz w:val="24"/>
          <w:szCs w:val="24"/>
          <w:highlight w:val="none"/>
          <w:lang w:eastAsia="zh-CN"/>
        </w:rPr>
        <w:t>响应单位</w:t>
      </w:r>
      <w:r>
        <w:rPr>
          <w:rFonts w:hint="eastAsia" w:ascii="仿宋" w:hAnsi="仿宋" w:eastAsia="仿宋" w:cs="仿宋"/>
          <w:b/>
          <w:color w:val="auto"/>
          <w:sz w:val="24"/>
          <w:szCs w:val="24"/>
          <w:highlight w:val="none"/>
        </w:rPr>
        <w:t>务必提供本附件)</w:t>
      </w:r>
    </w:p>
    <w:p>
      <w:pPr>
        <w:pStyle w:val="16"/>
        <w:numPr>
          <w:ilvl w:val="-1"/>
          <w:numId w:val="0"/>
        </w:numPr>
        <w:rPr>
          <w:rFonts w:hint="eastAsia" w:ascii="宋体" w:hAnsi="宋体" w:eastAsia="宋体" w:cs="Times New Roman"/>
          <w:b/>
          <w:color w:val="auto"/>
          <w:sz w:val="24"/>
          <w:szCs w:val="24"/>
          <w:highlight w:val="none"/>
          <w:u w:val="none"/>
          <w:lang w:val="en-US"/>
        </w:rPr>
        <w:sectPr>
          <w:pgSz w:w="11906" w:h="16838"/>
          <w:pgMar w:top="1020" w:right="1134" w:bottom="1020" w:left="1134" w:header="567" w:footer="567" w:gutter="0"/>
          <w:cols w:space="0" w:num="1"/>
          <w:docGrid w:type="lines" w:linePitch="312" w:charSpace="0"/>
        </w:sectPr>
      </w:pPr>
    </w:p>
    <w:p>
      <w:pPr>
        <w:spacing w:line="480" w:lineRule="exact"/>
        <w:jc w:val="center"/>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（2）法定代表人/负责人授权委托书</w:t>
      </w:r>
    </w:p>
    <w:p>
      <w:pPr>
        <w:spacing w:line="288" w:lineRule="auto"/>
        <w:rPr>
          <w:rFonts w:hint="eastAsia" w:ascii="仿宋" w:hAnsi="仿宋" w:eastAsia="仿宋" w:cs="仿宋"/>
          <w:color w:val="auto"/>
          <w:sz w:val="24"/>
          <w:szCs w:val="24"/>
          <w:highlight w:val="none"/>
        </w:rPr>
      </w:pP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招募方名称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 xml:space="preserve"> </w:t>
      </w:r>
    </w:p>
    <w:p>
      <w:pPr>
        <w:spacing w:line="288"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同志，为我方</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u w:val="single"/>
        </w:rPr>
        <w:t>中欧餐厅合作联营方招募项目</w:t>
      </w:r>
      <w:r>
        <w:rPr>
          <w:rFonts w:hint="eastAsia" w:ascii="仿宋" w:hAnsi="仿宋" w:eastAsia="仿宋" w:cs="仿宋"/>
          <w:color w:val="auto"/>
          <w:sz w:val="24"/>
          <w:szCs w:val="24"/>
          <w:highlight w:val="none"/>
        </w:rPr>
        <w:t>、签订经济合同及办理其他相关事务代理人，其权限是：</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。我方将根据相关规定加强管理，并对授权事宜负责。</w:t>
      </w:r>
    </w:p>
    <w:p>
      <w:pPr>
        <w:spacing w:line="288"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授权单位：</w:t>
      </w:r>
      <w:r>
        <w:rPr>
          <w:rFonts w:hint="eastAsia" w:ascii="仿宋" w:hAnsi="仿宋" w:eastAsia="仿宋" w:cs="仿宋"/>
          <w:color w:val="auto"/>
          <w:sz w:val="24"/>
          <w:szCs w:val="24"/>
          <w:highlight w:val="none"/>
          <w:u w:val="single"/>
        </w:rPr>
        <w:t xml:space="preserve">          （盖章）   </w:t>
      </w:r>
      <w:r>
        <w:rPr>
          <w:rFonts w:hint="eastAsia" w:ascii="仿宋" w:hAnsi="仿宋" w:eastAsia="仿宋" w:cs="仿宋"/>
          <w:color w:val="auto"/>
          <w:sz w:val="24"/>
          <w:szCs w:val="24"/>
          <w:highlight w:val="none"/>
        </w:rPr>
        <w:t xml:space="preserve">  法定代表人</w:t>
      </w:r>
      <w:r>
        <w:rPr>
          <w:rFonts w:hint="eastAsia" w:ascii="仿宋" w:hAnsi="仿宋" w:eastAsia="仿宋" w:cs="仿宋"/>
          <w:color w:val="auto"/>
          <w:sz w:val="24"/>
          <w:szCs w:val="24"/>
          <w:highlight w:val="none"/>
          <w:u w:val="single"/>
        </w:rPr>
        <w:t xml:space="preserve">              （签名或盖私章）</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被委托的代理人：</w:t>
      </w:r>
      <w:r>
        <w:rPr>
          <w:rFonts w:hint="eastAsia" w:ascii="仿宋" w:hAnsi="仿宋" w:eastAsia="仿宋" w:cs="仿宋"/>
          <w:color w:val="auto"/>
          <w:sz w:val="24"/>
          <w:szCs w:val="24"/>
          <w:highlight w:val="none"/>
          <w:u w:val="single"/>
        </w:rPr>
        <w:t xml:space="preserve">                  （签名或盖私章）</w:t>
      </w:r>
    </w:p>
    <w:p>
      <w:pPr>
        <w:spacing w:line="288"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有效期限：至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       签发日期：</w:t>
      </w:r>
      <w:r>
        <w:rPr>
          <w:rFonts w:hint="eastAsia" w:ascii="仿宋" w:hAnsi="仿宋" w:eastAsia="仿宋" w:cs="仿宋"/>
          <w:color w:val="auto"/>
          <w:sz w:val="24"/>
          <w:szCs w:val="24"/>
          <w:highlight w:val="none"/>
          <w:u w:val="single"/>
        </w:rPr>
        <w:t xml:space="preserve">                  </w:t>
      </w:r>
    </w:p>
    <w:p>
      <w:pPr>
        <w:spacing w:line="288"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附：代理人性别：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rPr>
        <w:t>年龄：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职务：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身份证号码：</w:t>
      </w:r>
      <w:r>
        <w:rPr>
          <w:rFonts w:hint="eastAsia" w:ascii="仿宋" w:hAnsi="仿宋" w:eastAsia="仿宋" w:cs="仿宋"/>
          <w:color w:val="auto"/>
          <w:sz w:val="24"/>
          <w:szCs w:val="24"/>
          <w:highlight w:val="none"/>
          <w:u w:val="single"/>
        </w:rPr>
        <w:t xml:space="preserve">                </w:t>
      </w:r>
    </w:p>
    <w:p>
      <w:pPr>
        <w:spacing w:line="288"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联系电话：</w:t>
      </w:r>
      <w:r>
        <w:rPr>
          <w:rFonts w:hint="eastAsia" w:ascii="仿宋" w:hAnsi="仿宋" w:eastAsia="仿宋" w:cs="仿宋"/>
          <w:color w:val="auto"/>
          <w:sz w:val="24"/>
          <w:szCs w:val="24"/>
          <w:highlight w:val="none"/>
          <w:u w:val="single"/>
        </w:rPr>
        <w:t xml:space="preserve">                    </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营业执照号码：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经济性质：</w:t>
      </w:r>
      <w:r>
        <w:rPr>
          <w:rFonts w:hint="eastAsia" w:ascii="仿宋" w:hAnsi="仿宋" w:eastAsia="仿宋" w:cs="仿宋"/>
          <w:color w:val="auto"/>
          <w:sz w:val="24"/>
          <w:szCs w:val="24"/>
          <w:highlight w:val="none"/>
          <w:u w:val="single"/>
        </w:rPr>
        <w:t xml:space="preserve">                       </w:t>
      </w:r>
    </w:p>
    <w:p>
      <w:pPr>
        <w:spacing w:line="288" w:lineRule="auto"/>
        <w:ind w:firstLine="240" w:firstLineChars="100"/>
        <w:rPr>
          <w:rFonts w:hint="eastAsia" w:ascii="仿宋" w:hAnsi="仿宋" w:eastAsia="仿宋" w:cs="仿宋"/>
          <w:color w:val="auto"/>
          <w:sz w:val="24"/>
          <w:szCs w:val="24"/>
          <w:highlight w:val="none"/>
        </w:rPr>
      </w:pP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1.法定代表人为企业事业单位、国家机关、社会团体的主要行政负责人。</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2.内容必须填写真实、清楚、涂改无效，不得转让、买卖。</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3.将此证明书提交对方作为合同附件。</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4.授权权限：全权代表本公司参与上述项目的</w:t>
      </w:r>
      <w:r>
        <w:rPr>
          <w:rFonts w:hint="eastAsia" w:ascii="仿宋" w:hAnsi="仿宋" w:eastAsia="仿宋" w:cs="仿宋"/>
          <w:color w:val="auto"/>
          <w:sz w:val="24"/>
          <w:szCs w:val="24"/>
          <w:highlight w:val="none"/>
          <w:lang w:eastAsia="zh-CN"/>
        </w:rPr>
        <w:t>响应工作</w:t>
      </w:r>
      <w:r>
        <w:rPr>
          <w:rFonts w:hint="eastAsia" w:ascii="仿宋" w:hAnsi="仿宋" w:eastAsia="仿宋" w:cs="仿宋"/>
          <w:color w:val="auto"/>
          <w:sz w:val="24"/>
          <w:szCs w:val="24"/>
          <w:highlight w:val="none"/>
        </w:rPr>
        <w:t>，负责提供与签署确认一切文书资料，以及向贵方递交的任何补充承诺。</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5.有效期限：与本公司</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文件中标注的有效期相同，自本单位盖公章之日起生效。</w:t>
      </w:r>
    </w:p>
    <w:p>
      <w:pPr>
        <w:spacing w:line="288"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签字代表为法定代表人，则本表不适用。</w:t>
      </w:r>
    </w:p>
    <w:p>
      <w:pPr>
        <w:spacing w:line="360" w:lineRule="auto"/>
        <w:ind w:firstLine="210" w:firstLineChars="100"/>
        <w:rPr>
          <w:rFonts w:hint="eastAsia" w:ascii="仿宋" w:hAnsi="仿宋" w:eastAsia="仿宋" w:cs="仿宋"/>
          <w:color w:val="auto"/>
          <w:sz w:val="24"/>
          <w:szCs w:val="24"/>
          <w:highlight w:val="none"/>
        </w:rPr>
      </w:pPr>
      <w:r>
        <w:rPr>
          <w:rFonts w:ascii="宋体" w:hAnsi="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1237615</wp:posOffset>
                </wp:positionH>
                <wp:positionV relativeFrom="paragraph">
                  <wp:posOffset>240665</wp:posOffset>
                </wp:positionV>
                <wp:extent cx="3905250" cy="1765300"/>
                <wp:effectExtent l="4445" t="4445" r="14605" b="20955"/>
                <wp:wrapSquare wrapText="bothSides"/>
                <wp:docPr id="7" name="流程图: 可选过程 7"/>
                <wp:cNvGraphicFramePr/>
                <a:graphic xmlns:a="http://schemas.openxmlformats.org/drawingml/2006/main">
                  <a:graphicData uri="http://schemas.microsoft.com/office/word/2010/wordprocessingShape">
                    <wps:wsp>
                      <wps:cNvSpPr>
                        <a:spLocks noRot="1"/>
                      </wps:cNvSpPr>
                      <wps:spPr>
                        <a:xfrm>
                          <a:off x="0" y="0"/>
                          <a:ext cx="3905250" cy="17653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wps:txbx>
                      <wps:bodyPr upright="1"/>
                    </wps:wsp>
                  </a:graphicData>
                </a:graphic>
              </wp:anchor>
            </w:drawing>
          </mc:Choice>
          <mc:Fallback>
            <w:pict>
              <v:shape id="_x0000_s1026" o:spid="_x0000_s1026" o:spt="176" type="#_x0000_t176" style="position:absolute;left:0pt;margin-left:97.45pt;margin-top:18.95pt;height:139pt;width:307.5pt;mso-wrap-distance-bottom:0pt;mso-wrap-distance-left:9pt;mso-wrap-distance-right:9pt;mso-wrap-distance-top:0pt;z-index:251659264;mso-width-relative:page;mso-height-relative:page;" fillcolor="#FFFFFF" filled="t" stroked="t" coordsize="21600,21600" o:gfxdata="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NISl9cAAAAKAQAADwAAAAAAAAABACAAAAAiAAAAZHJzL2Rvd25y&#10;ZXYueG1sUEsBAhQAFAAAAAgAh07iQKkIRMI4AgAAcwQAAA4AAAAAAAAAAQAgAAAAJgEAAGRycy9l&#10;Mm9Eb2MueG1sUEsFBgAAAAAGAAYAWQEAANAFAAAAAA==&#10;">
                <v:fill on="t" focussize="0,0"/>
                <v:stroke color="#000000" joinstyle="miter"/>
                <v:imagedata o:title=""/>
                <o:lock v:ext="edit" rotation="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v:textbox>
                <w10:wrap type="square"/>
              </v:shape>
            </w:pict>
          </mc:Fallback>
        </mc:AlternateContent>
      </w:r>
    </w:p>
    <w:p>
      <w:pPr>
        <w:spacing w:line="360" w:lineRule="auto"/>
        <w:ind w:firstLine="240" w:firstLineChars="100"/>
        <w:rPr>
          <w:rFonts w:hint="eastAsia" w:ascii="仿宋" w:hAnsi="仿宋" w:eastAsia="仿宋" w:cs="仿宋"/>
          <w:color w:val="auto"/>
          <w:sz w:val="24"/>
          <w:szCs w:val="24"/>
          <w:highlight w:val="none"/>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240" w:firstLineChars="100"/>
        <w:rPr>
          <w:rFonts w:hint="eastAsia" w:ascii="仿宋" w:hAnsi="仿宋" w:eastAsia="仿宋" w:cs="Tahoma"/>
          <w:color w:val="auto"/>
          <w:kern w:val="0"/>
          <w:sz w:val="24"/>
          <w:szCs w:val="24"/>
          <w:highlight w:val="none"/>
          <w:lang w:eastAsia="zh-CN"/>
        </w:rPr>
      </w:pPr>
    </w:p>
    <w:p>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Tahoma"/>
          <w:b/>
          <w:bCs/>
          <w:color w:val="auto"/>
          <w:kern w:val="0"/>
          <w:sz w:val="24"/>
          <w:szCs w:val="24"/>
          <w:highlight w:val="none"/>
          <w:lang w:eastAsia="zh-CN"/>
        </w:rPr>
        <w:t>注：本</w:t>
      </w:r>
      <w:r>
        <w:rPr>
          <w:rFonts w:hint="eastAsia" w:ascii="仿宋" w:hAnsi="仿宋" w:eastAsia="仿宋" w:cs="Tahoma"/>
          <w:b/>
          <w:bCs/>
          <w:color w:val="auto"/>
          <w:kern w:val="0"/>
          <w:sz w:val="24"/>
          <w:szCs w:val="24"/>
          <w:highlight w:val="none"/>
        </w:rPr>
        <w:t>授权委托代理人需提供</w:t>
      </w:r>
      <w:r>
        <w:rPr>
          <w:rFonts w:hint="eastAsia" w:ascii="仿宋" w:hAnsi="仿宋" w:eastAsia="仿宋" w:cs="Tahoma"/>
          <w:b/>
          <w:bCs/>
          <w:color w:val="auto"/>
          <w:kern w:val="0"/>
          <w:sz w:val="24"/>
          <w:szCs w:val="24"/>
          <w:highlight w:val="none"/>
          <w:lang w:eastAsia="zh-CN"/>
        </w:rPr>
        <w:t>响应单位</w:t>
      </w:r>
      <w:r>
        <w:rPr>
          <w:rFonts w:hint="eastAsia" w:ascii="仿宋" w:hAnsi="仿宋" w:eastAsia="仿宋" w:cs="Tahoma"/>
          <w:b/>
          <w:bCs/>
          <w:color w:val="auto"/>
          <w:kern w:val="0"/>
          <w:sz w:val="24"/>
          <w:szCs w:val="24"/>
          <w:highlight w:val="none"/>
        </w:rPr>
        <w:t>近三个月（扣除发布</w:t>
      </w:r>
      <w:r>
        <w:rPr>
          <w:rFonts w:hint="eastAsia" w:ascii="仿宋" w:hAnsi="仿宋" w:eastAsia="仿宋" w:cs="Tahoma"/>
          <w:b/>
          <w:bCs/>
          <w:color w:val="auto"/>
          <w:kern w:val="0"/>
          <w:sz w:val="24"/>
          <w:szCs w:val="24"/>
          <w:highlight w:val="none"/>
          <w:lang w:eastAsia="zh-CN"/>
        </w:rPr>
        <w:t>招募</w:t>
      </w:r>
      <w:r>
        <w:rPr>
          <w:rFonts w:hint="eastAsia" w:ascii="仿宋" w:hAnsi="仿宋" w:eastAsia="仿宋" w:cs="Tahoma"/>
          <w:b/>
          <w:bCs/>
          <w:color w:val="auto"/>
          <w:kern w:val="0"/>
          <w:sz w:val="24"/>
          <w:szCs w:val="24"/>
          <w:highlight w:val="none"/>
        </w:rPr>
        <w:t>公告当月往前顺推3个月，即 2024 年10月至2024年12月）为</w:t>
      </w:r>
      <w:r>
        <w:rPr>
          <w:rFonts w:hint="eastAsia" w:ascii="仿宋" w:hAnsi="仿宋" w:eastAsia="仿宋" w:cs="Tahoma"/>
          <w:b/>
          <w:bCs/>
          <w:color w:val="auto"/>
          <w:kern w:val="0"/>
          <w:sz w:val="24"/>
          <w:szCs w:val="24"/>
          <w:highlight w:val="none"/>
          <w:lang w:eastAsia="zh-CN"/>
        </w:rPr>
        <w:t>本</w:t>
      </w:r>
      <w:r>
        <w:rPr>
          <w:rFonts w:hint="eastAsia" w:ascii="仿宋" w:hAnsi="仿宋" w:eastAsia="仿宋" w:cs="Tahoma"/>
          <w:b/>
          <w:bCs/>
          <w:color w:val="auto"/>
          <w:kern w:val="0"/>
          <w:sz w:val="24"/>
          <w:szCs w:val="24"/>
          <w:highlight w:val="none"/>
        </w:rPr>
        <w:t>授权委托代理人缴纳社保资金的有效的社保证明材料。以</w:t>
      </w:r>
      <w:r>
        <w:rPr>
          <w:rFonts w:hint="eastAsia" w:ascii="仿宋" w:hAnsi="仿宋" w:eastAsia="仿宋" w:cs="Tahoma"/>
          <w:b/>
          <w:bCs/>
          <w:color w:val="auto"/>
          <w:kern w:val="0"/>
          <w:sz w:val="24"/>
          <w:szCs w:val="24"/>
          <w:highlight w:val="none"/>
          <w:lang w:eastAsia="zh-CN"/>
        </w:rPr>
        <w:t>响应单位</w:t>
      </w:r>
      <w:r>
        <w:rPr>
          <w:rFonts w:hint="eastAsia" w:ascii="仿宋" w:hAnsi="仿宋" w:eastAsia="仿宋" w:cs="Tahoma"/>
          <w:b/>
          <w:bCs/>
          <w:color w:val="auto"/>
          <w:kern w:val="0"/>
          <w:sz w:val="24"/>
          <w:szCs w:val="24"/>
          <w:highlight w:val="none"/>
        </w:rPr>
        <w:t>（或其分支机构）所属当地社保管理部门出具的证明材料的原件或复印件为准，并作为授权委托书的附件</w:t>
      </w:r>
      <w:r>
        <w:rPr>
          <w:rFonts w:hint="eastAsia" w:ascii="仿宋" w:hAnsi="仿宋" w:eastAsia="仿宋" w:cs="Tahoma"/>
          <w:b/>
          <w:bCs/>
          <w:color w:val="auto"/>
          <w:kern w:val="0"/>
          <w:sz w:val="24"/>
          <w:szCs w:val="24"/>
          <w:highlight w:val="none"/>
          <w:lang w:eastAsia="zh-CN"/>
        </w:rPr>
        <w:t>。</w:t>
      </w:r>
    </w:p>
    <w:p>
      <w:pPr>
        <w:spacing w:line="360" w:lineRule="auto"/>
        <w:ind w:firstLine="420"/>
        <w:rPr>
          <w:rFonts w:hint="eastAsia" w:ascii="仿宋_GB2312" w:hAnsi="仿宋" w:eastAsia="仿宋_GB2312"/>
          <w:color w:val="auto"/>
          <w:sz w:val="28"/>
          <w:szCs w:val="28"/>
          <w:highlight w:val="none"/>
          <w:u w:val="single"/>
        </w:rPr>
      </w:pPr>
    </w:p>
    <w:p>
      <w:pPr>
        <w:pStyle w:val="16"/>
        <w:numPr>
          <w:ilvl w:val="-1"/>
          <w:numId w:val="0"/>
        </w:numPr>
        <w:rPr>
          <w:rFonts w:hint="eastAsia" w:ascii="宋体" w:hAnsi="宋体" w:eastAsia="宋体" w:cs="Times New Roman"/>
          <w:b/>
          <w:color w:val="auto"/>
          <w:sz w:val="24"/>
          <w:szCs w:val="24"/>
          <w:highlight w:val="none"/>
          <w:u w:val="none"/>
          <w:lang w:val="en-US"/>
        </w:rPr>
        <w:sectPr>
          <w:pgSz w:w="11906" w:h="16838"/>
          <w:pgMar w:top="1020" w:right="1134" w:bottom="1020" w:left="1134" w:header="567" w:footer="567" w:gutter="0"/>
          <w:cols w:space="0" w:num="1"/>
          <w:docGrid w:type="lines" w:linePitch="312" w:charSpace="0"/>
        </w:sectPr>
      </w:pPr>
      <w:r>
        <w:rPr>
          <w:rFonts w:hint="eastAsia" w:ascii="宋体" w:hAnsi="宋体" w:eastAsia="宋体" w:cs="Times New Roman"/>
          <w:b/>
          <w:color w:val="auto"/>
          <w:sz w:val="24"/>
          <w:szCs w:val="24"/>
          <w:highlight w:val="none"/>
          <w:u w:val="none"/>
          <w:lang w:val="en-US"/>
        </w:rPr>
        <w:br w:type="page"/>
      </w:r>
    </w:p>
    <w:p>
      <w:pPr>
        <w:widowControl/>
        <w:spacing w:line="360" w:lineRule="auto"/>
        <w:ind w:firstLine="0" w:firstLineChars="0"/>
        <w:jc w:val="lef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3.审查资料</w:t>
      </w:r>
      <w:r>
        <w:rPr>
          <w:rFonts w:hint="eastAsia" w:ascii="仿宋" w:hAnsi="仿宋" w:eastAsia="仿宋" w:cs="仿宋"/>
          <w:color w:val="auto"/>
          <w:sz w:val="28"/>
          <w:szCs w:val="28"/>
          <w:highlight w:val="none"/>
          <w:lang w:eastAsia="zh-CN"/>
        </w:rPr>
        <w:t>（格式自拟）</w:t>
      </w: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pStyle w:val="16"/>
        <w:numPr>
          <w:ilvl w:val="-1"/>
          <w:numId w:val="0"/>
        </w:numPr>
        <w:rPr>
          <w:rFonts w:hint="eastAsia" w:ascii="宋体" w:hAnsi="宋体" w:eastAsia="宋体" w:cs="Times New Roman"/>
          <w:b/>
          <w:color w:val="auto"/>
          <w:sz w:val="24"/>
          <w:szCs w:val="24"/>
          <w:highlight w:val="none"/>
          <w:u w:val="none"/>
          <w:lang w:val="en-US"/>
        </w:rPr>
      </w:pPr>
    </w:p>
    <w:p>
      <w:pPr>
        <w:widowControl/>
        <w:spacing w:line="360" w:lineRule="auto"/>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 w:val="0"/>
          <w:color w:val="auto"/>
          <w:sz w:val="28"/>
          <w:szCs w:val="28"/>
          <w:highlight w:val="none"/>
          <w:u w:val="none"/>
          <w:lang w:val="en-US" w:eastAsia="zh-CN"/>
        </w:rPr>
        <w:t>4.</w:t>
      </w:r>
      <w:r>
        <w:rPr>
          <w:rFonts w:hint="eastAsia" w:ascii="仿宋" w:hAnsi="仿宋" w:eastAsia="仿宋" w:cs="仿宋"/>
          <w:color w:val="auto"/>
          <w:sz w:val="28"/>
          <w:szCs w:val="28"/>
          <w:highlight w:val="none"/>
        </w:rPr>
        <w:t>响应方案</w:t>
      </w:r>
      <w:r>
        <w:rPr>
          <w:rFonts w:hint="eastAsia" w:ascii="仿宋" w:hAnsi="仿宋" w:eastAsia="仿宋" w:cs="仿宋"/>
          <w:color w:val="auto"/>
          <w:sz w:val="28"/>
          <w:szCs w:val="28"/>
          <w:highlight w:val="none"/>
          <w:lang w:eastAsia="zh-CN"/>
        </w:rPr>
        <w:t>（格式自拟）</w:t>
      </w:r>
    </w:p>
    <w:p>
      <w:pPr>
        <w:widowControl/>
        <w:spacing w:line="360" w:lineRule="auto"/>
        <w:jc w:val="left"/>
        <w:rPr>
          <w:rFonts w:hint="eastAsia" w:ascii="仿宋" w:hAnsi="仿宋" w:eastAsia="仿宋" w:cs="仿宋"/>
          <w:b w:val="0"/>
          <w:color w:val="auto"/>
          <w:sz w:val="28"/>
          <w:szCs w:val="28"/>
          <w:highlight w:val="none"/>
          <w:u w:val="none"/>
          <w:lang w:val="en-US"/>
        </w:rPr>
      </w:pPr>
    </w:p>
    <w:p>
      <w:pPr>
        <w:widowControl/>
        <w:spacing w:line="360" w:lineRule="auto"/>
        <w:jc w:val="left"/>
        <w:rPr>
          <w:rFonts w:hint="eastAsia" w:ascii="仿宋" w:hAnsi="仿宋" w:eastAsia="仿宋" w:cs="仿宋"/>
          <w:b w:val="0"/>
          <w:color w:val="auto"/>
          <w:sz w:val="28"/>
          <w:szCs w:val="28"/>
          <w:highlight w:val="none"/>
          <w:u w:val="none"/>
          <w:lang w:val="en-US"/>
        </w:rPr>
      </w:pPr>
    </w:p>
    <w:p>
      <w:pPr>
        <w:widowControl/>
        <w:spacing w:line="360" w:lineRule="auto"/>
        <w:jc w:val="left"/>
        <w:rPr>
          <w:rFonts w:hint="eastAsia" w:ascii="仿宋" w:hAnsi="仿宋" w:eastAsia="仿宋" w:cs="仿宋"/>
          <w:b w:val="0"/>
          <w:color w:val="auto"/>
          <w:sz w:val="28"/>
          <w:szCs w:val="28"/>
          <w:highlight w:val="none"/>
          <w:u w:val="none"/>
          <w:lang w:val="en-US"/>
        </w:rPr>
      </w:pPr>
    </w:p>
    <w:p>
      <w:pPr>
        <w:pStyle w:val="16"/>
        <w:rPr>
          <w:rFonts w:hint="eastAsia" w:ascii="仿宋" w:hAnsi="仿宋" w:eastAsia="仿宋" w:cs="仿宋"/>
          <w:b w:val="0"/>
          <w:color w:val="auto"/>
          <w:sz w:val="28"/>
          <w:szCs w:val="28"/>
          <w:highlight w:val="none"/>
          <w:u w:val="none"/>
          <w:lang w:val="en-US"/>
        </w:rPr>
      </w:pPr>
    </w:p>
    <w:p>
      <w:pPr>
        <w:pStyle w:val="16"/>
        <w:rPr>
          <w:rFonts w:hint="eastAsia" w:ascii="仿宋" w:hAnsi="仿宋" w:eastAsia="仿宋" w:cs="仿宋"/>
          <w:b w:val="0"/>
          <w:color w:val="auto"/>
          <w:sz w:val="28"/>
          <w:szCs w:val="28"/>
          <w:highlight w:val="none"/>
          <w:u w:val="none"/>
          <w:lang w:val="en-US"/>
        </w:rPr>
      </w:pPr>
    </w:p>
    <w:p>
      <w:pPr>
        <w:widowControl/>
        <w:spacing w:line="360" w:lineRule="auto"/>
        <w:jc w:val="left"/>
        <w:rPr>
          <w:rFonts w:hint="eastAsia" w:ascii="仿宋" w:hAnsi="仿宋" w:eastAsia="仿宋" w:cs="仿宋"/>
          <w:b w:val="0"/>
          <w:color w:val="auto"/>
          <w:sz w:val="28"/>
          <w:szCs w:val="28"/>
          <w:highlight w:val="none"/>
          <w:u w:val="none"/>
          <w:lang w:val="en-US"/>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响应单位</w:t>
      </w:r>
      <w:r>
        <w:rPr>
          <w:rFonts w:hint="eastAsia" w:ascii="仿宋" w:hAnsi="仿宋" w:eastAsia="仿宋" w:cs="仿宋"/>
          <w:color w:val="auto"/>
          <w:sz w:val="28"/>
          <w:szCs w:val="28"/>
          <w:highlight w:val="none"/>
        </w:rPr>
        <w:t>认为需要提供的其他材料(如有)</w:t>
      </w:r>
    </w:p>
    <w:p>
      <w:pPr>
        <w:pStyle w:val="24"/>
        <w:spacing w:line="500" w:lineRule="exact"/>
        <w:ind w:firstLine="0" w:firstLineChars="0"/>
        <w:jc w:val="center"/>
        <w:rPr>
          <w:rFonts w:ascii="仿宋" w:hAnsi="仿宋" w:eastAsia="仿宋" w:cs="仿宋"/>
          <w:color w:val="auto"/>
          <w:kern w:val="2"/>
          <w:sz w:val="24"/>
          <w:szCs w:val="24"/>
          <w:highlight w:val="none"/>
        </w:rPr>
      </w:pPr>
    </w:p>
    <w:sectPr>
      <w:pgSz w:w="11906" w:h="16838"/>
      <w:pgMar w:top="1020" w:right="1134" w:bottom="1020" w:left="1134" w:header="567" w:footer="56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2926B"/>
    <w:multiLevelType w:val="singleLevel"/>
    <w:tmpl w:val="3842926B"/>
    <w:lvl w:ilvl="0" w:tentative="0">
      <w:start w:val="3"/>
      <w:numFmt w:val="chineseCounting"/>
      <w:suff w:val="nothing"/>
      <w:lvlText w:val="%1、"/>
      <w:lvlJc w:val="left"/>
      <w:rPr>
        <w:rFonts w:hint="eastAsia"/>
      </w:rPr>
    </w:lvl>
  </w:abstractNum>
  <w:abstractNum w:abstractNumId="1">
    <w:nsid w:val="5E0CB90B"/>
    <w:multiLevelType w:val="singleLevel"/>
    <w:tmpl w:val="5E0CB90B"/>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69634715">
    <w15:presenceInfo w15:providerId="WPS Office" w15:userId="745157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MGU4Nzk0MmRmMmNlMjY1MDhjMTFjODk5MzA3YWQifQ=="/>
    <w:docVar w:name="KSO_WPS_MARK_KEY" w:val="60c3c071-8894-45ac-8529-33fe7416aa56"/>
  </w:docVars>
  <w:rsids>
    <w:rsidRoot w:val="00172A27"/>
    <w:rsid w:val="00014437"/>
    <w:rsid w:val="000231BA"/>
    <w:rsid w:val="000421A8"/>
    <w:rsid w:val="00061E37"/>
    <w:rsid w:val="00087B44"/>
    <w:rsid w:val="00092631"/>
    <w:rsid w:val="00095E14"/>
    <w:rsid w:val="000A6197"/>
    <w:rsid w:val="000B1547"/>
    <w:rsid w:val="000E5B97"/>
    <w:rsid w:val="000F3A74"/>
    <w:rsid w:val="00103901"/>
    <w:rsid w:val="00104B7D"/>
    <w:rsid w:val="00172A27"/>
    <w:rsid w:val="00173BF8"/>
    <w:rsid w:val="001823A9"/>
    <w:rsid w:val="001A3F45"/>
    <w:rsid w:val="001B27D1"/>
    <w:rsid w:val="001B4B71"/>
    <w:rsid w:val="001F01D4"/>
    <w:rsid w:val="001F3005"/>
    <w:rsid w:val="00212822"/>
    <w:rsid w:val="00227201"/>
    <w:rsid w:val="002500E6"/>
    <w:rsid w:val="00253868"/>
    <w:rsid w:val="002878BC"/>
    <w:rsid w:val="002D6FC9"/>
    <w:rsid w:val="002E35FB"/>
    <w:rsid w:val="002E4D17"/>
    <w:rsid w:val="00301F71"/>
    <w:rsid w:val="00305212"/>
    <w:rsid w:val="0031140F"/>
    <w:rsid w:val="00313835"/>
    <w:rsid w:val="00337603"/>
    <w:rsid w:val="003440C0"/>
    <w:rsid w:val="00366748"/>
    <w:rsid w:val="00377AEB"/>
    <w:rsid w:val="003D1763"/>
    <w:rsid w:val="003D1E3F"/>
    <w:rsid w:val="003D4BCB"/>
    <w:rsid w:val="004321D1"/>
    <w:rsid w:val="00483708"/>
    <w:rsid w:val="004A5E70"/>
    <w:rsid w:val="004C1FBD"/>
    <w:rsid w:val="004C42A6"/>
    <w:rsid w:val="004C69BF"/>
    <w:rsid w:val="004D0C82"/>
    <w:rsid w:val="004D4DFA"/>
    <w:rsid w:val="004E2AEE"/>
    <w:rsid w:val="0055459E"/>
    <w:rsid w:val="00564D0F"/>
    <w:rsid w:val="00582708"/>
    <w:rsid w:val="005A7FDB"/>
    <w:rsid w:val="005C2BCF"/>
    <w:rsid w:val="005D5CB1"/>
    <w:rsid w:val="00601104"/>
    <w:rsid w:val="00622122"/>
    <w:rsid w:val="00664199"/>
    <w:rsid w:val="006B44F6"/>
    <w:rsid w:val="0073746C"/>
    <w:rsid w:val="00764721"/>
    <w:rsid w:val="0076687F"/>
    <w:rsid w:val="007857C5"/>
    <w:rsid w:val="007E2199"/>
    <w:rsid w:val="007F3D57"/>
    <w:rsid w:val="007F77FF"/>
    <w:rsid w:val="00823AC8"/>
    <w:rsid w:val="00836E4E"/>
    <w:rsid w:val="00855949"/>
    <w:rsid w:val="00863FA3"/>
    <w:rsid w:val="00875F54"/>
    <w:rsid w:val="00883605"/>
    <w:rsid w:val="008851AB"/>
    <w:rsid w:val="008A4F38"/>
    <w:rsid w:val="008B4B36"/>
    <w:rsid w:val="008C59AB"/>
    <w:rsid w:val="00921E1C"/>
    <w:rsid w:val="009406BC"/>
    <w:rsid w:val="00953F9C"/>
    <w:rsid w:val="0096519D"/>
    <w:rsid w:val="00986575"/>
    <w:rsid w:val="009919F6"/>
    <w:rsid w:val="0099331E"/>
    <w:rsid w:val="009F4867"/>
    <w:rsid w:val="00A04A19"/>
    <w:rsid w:val="00A20EF1"/>
    <w:rsid w:val="00A22D4F"/>
    <w:rsid w:val="00A367BB"/>
    <w:rsid w:val="00A45057"/>
    <w:rsid w:val="00A52F7B"/>
    <w:rsid w:val="00A65E9E"/>
    <w:rsid w:val="00A76CDB"/>
    <w:rsid w:val="00A94836"/>
    <w:rsid w:val="00AE7399"/>
    <w:rsid w:val="00AF4606"/>
    <w:rsid w:val="00B74E4A"/>
    <w:rsid w:val="00B900AB"/>
    <w:rsid w:val="00B93F17"/>
    <w:rsid w:val="00BC0D94"/>
    <w:rsid w:val="00BD1576"/>
    <w:rsid w:val="00BF5E7B"/>
    <w:rsid w:val="00C074CE"/>
    <w:rsid w:val="00C14DB4"/>
    <w:rsid w:val="00C47617"/>
    <w:rsid w:val="00C6252B"/>
    <w:rsid w:val="00C679AC"/>
    <w:rsid w:val="00C77E82"/>
    <w:rsid w:val="00C822AD"/>
    <w:rsid w:val="00CC13C4"/>
    <w:rsid w:val="00CC6B76"/>
    <w:rsid w:val="00CD5EA9"/>
    <w:rsid w:val="00CD7AC7"/>
    <w:rsid w:val="00D222CE"/>
    <w:rsid w:val="00D35204"/>
    <w:rsid w:val="00D40491"/>
    <w:rsid w:val="00D771A8"/>
    <w:rsid w:val="00D83425"/>
    <w:rsid w:val="00DA4A00"/>
    <w:rsid w:val="00DA6D21"/>
    <w:rsid w:val="00DC061C"/>
    <w:rsid w:val="00DD787D"/>
    <w:rsid w:val="00DE29D4"/>
    <w:rsid w:val="00DE577F"/>
    <w:rsid w:val="00DF67D6"/>
    <w:rsid w:val="00E338A5"/>
    <w:rsid w:val="00E54C1F"/>
    <w:rsid w:val="00E82916"/>
    <w:rsid w:val="00EB7C11"/>
    <w:rsid w:val="00ED27DF"/>
    <w:rsid w:val="00ED7BBD"/>
    <w:rsid w:val="00EE31C9"/>
    <w:rsid w:val="00EE5F7A"/>
    <w:rsid w:val="00F17055"/>
    <w:rsid w:val="00F70A36"/>
    <w:rsid w:val="00FD5165"/>
    <w:rsid w:val="00FE0C4E"/>
    <w:rsid w:val="00FF41A4"/>
    <w:rsid w:val="012E03DA"/>
    <w:rsid w:val="014348D1"/>
    <w:rsid w:val="0161757A"/>
    <w:rsid w:val="01626398"/>
    <w:rsid w:val="01634B92"/>
    <w:rsid w:val="016C71F3"/>
    <w:rsid w:val="017F2953"/>
    <w:rsid w:val="01815F85"/>
    <w:rsid w:val="018C6B6B"/>
    <w:rsid w:val="01B57916"/>
    <w:rsid w:val="02057573"/>
    <w:rsid w:val="02230189"/>
    <w:rsid w:val="024922AC"/>
    <w:rsid w:val="026330C7"/>
    <w:rsid w:val="02870C4F"/>
    <w:rsid w:val="02A15359"/>
    <w:rsid w:val="02AC3E59"/>
    <w:rsid w:val="02C60B85"/>
    <w:rsid w:val="02CA4A30"/>
    <w:rsid w:val="02D42090"/>
    <w:rsid w:val="02DF4D3A"/>
    <w:rsid w:val="02F11A1B"/>
    <w:rsid w:val="03167959"/>
    <w:rsid w:val="03360B29"/>
    <w:rsid w:val="03511031"/>
    <w:rsid w:val="036008E0"/>
    <w:rsid w:val="03866634"/>
    <w:rsid w:val="03A65958"/>
    <w:rsid w:val="03B4688D"/>
    <w:rsid w:val="03DB0E69"/>
    <w:rsid w:val="03FC25C2"/>
    <w:rsid w:val="04455AD9"/>
    <w:rsid w:val="04650E5C"/>
    <w:rsid w:val="04A3117E"/>
    <w:rsid w:val="04C200ED"/>
    <w:rsid w:val="04C945B1"/>
    <w:rsid w:val="04E8324F"/>
    <w:rsid w:val="04F91A2A"/>
    <w:rsid w:val="055810C2"/>
    <w:rsid w:val="05A64CEE"/>
    <w:rsid w:val="05E7743A"/>
    <w:rsid w:val="05F17CC7"/>
    <w:rsid w:val="0610019A"/>
    <w:rsid w:val="0629746C"/>
    <w:rsid w:val="063D4482"/>
    <w:rsid w:val="06431DD6"/>
    <w:rsid w:val="06804374"/>
    <w:rsid w:val="07436346"/>
    <w:rsid w:val="076D7E55"/>
    <w:rsid w:val="078D6A99"/>
    <w:rsid w:val="079901C1"/>
    <w:rsid w:val="07F87182"/>
    <w:rsid w:val="08187FC2"/>
    <w:rsid w:val="081A3CBD"/>
    <w:rsid w:val="08350196"/>
    <w:rsid w:val="08A55595"/>
    <w:rsid w:val="090853F2"/>
    <w:rsid w:val="095C3AED"/>
    <w:rsid w:val="096D7D04"/>
    <w:rsid w:val="09B6397C"/>
    <w:rsid w:val="09BC43FC"/>
    <w:rsid w:val="09CB5BA1"/>
    <w:rsid w:val="0A1A284B"/>
    <w:rsid w:val="0A2F7CF3"/>
    <w:rsid w:val="0ACC0B6D"/>
    <w:rsid w:val="0ACC0D02"/>
    <w:rsid w:val="0AD166AC"/>
    <w:rsid w:val="0AD72020"/>
    <w:rsid w:val="0AF42EEB"/>
    <w:rsid w:val="0B03501E"/>
    <w:rsid w:val="0B28110F"/>
    <w:rsid w:val="0B5039BB"/>
    <w:rsid w:val="0B5D444C"/>
    <w:rsid w:val="0B5F1685"/>
    <w:rsid w:val="0B642107"/>
    <w:rsid w:val="0B670BE4"/>
    <w:rsid w:val="0B801C68"/>
    <w:rsid w:val="0BB772BD"/>
    <w:rsid w:val="0BCB3F11"/>
    <w:rsid w:val="0BCF0ABF"/>
    <w:rsid w:val="0BDE2EEB"/>
    <w:rsid w:val="0BF0712E"/>
    <w:rsid w:val="0C2F1324"/>
    <w:rsid w:val="0C2F6D70"/>
    <w:rsid w:val="0C6D1155"/>
    <w:rsid w:val="0C8D0917"/>
    <w:rsid w:val="0CB03127"/>
    <w:rsid w:val="0CC836FA"/>
    <w:rsid w:val="0CE03BC9"/>
    <w:rsid w:val="0CEA1BC0"/>
    <w:rsid w:val="0CED690D"/>
    <w:rsid w:val="0D044784"/>
    <w:rsid w:val="0D292FA3"/>
    <w:rsid w:val="0D5355DA"/>
    <w:rsid w:val="0DE70CC2"/>
    <w:rsid w:val="0E4F0DFB"/>
    <w:rsid w:val="0E4F4B9D"/>
    <w:rsid w:val="0E6D7410"/>
    <w:rsid w:val="0E811D0A"/>
    <w:rsid w:val="0E984895"/>
    <w:rsid w:val="0EA0380F"/>
    <w:rsid w:val="0ED63858"/>
    <w:rsid w:val="0EEC17C6"/>
    <w:rsid w:val="0EFF6023"/>
    <w:rsid w:val="0F1244F2"/>
    <w:rsid w:val="0F1A64A4"/>
    <w:rsid w:val="0F465C95"/>
    <w:rsid w:val="0F55284F"/>
    <w:rsid w:val="0F6C766B"/>
    <w:rsid w:val="0FB869B1"/>
    <w:rsid w:val="0FC35EB7"/>
    <w:rsid w:val="1003335A"/>
    <w:rsid w:val="101C6994"/>
    <w:rsid w:val="10D45588"/>
    <w:rsid w:val="10E6715F"/>
    <w:rsid w:val="111D59EE"/>
    <w:rsid w:val="112E2EBF"/>
    <w:rsid w:val="114B7A56"/>
    <w:rsid w:val="117635B2"/>
    <w:rsid w:val="11AA5EC1"/>
    <w:rsid w:val="11AC23F8"/>
    <w:rsid w:val="11FC2866"/>
    <w:rsid w:val="123173DD"/>
    <w:rsid w:val="12524AF9"/>
    <w:rsid w:val="12555A81"/>
    <w:rsid w:val="12BF1807"/>
    <w:rsid w:val="12C22387"/>
    <w:rsid w:val="133C16B4"/>
    <w:rsid w:val="133E27BB"/>
    <w:rsid w:val="135348EA"/>
    <w:rsid w:val="13803ECF"/>
    <w:rsid w:val="139A5994"/>
    <w:rsid w:val="13C82E7D"/>
    <w:rsid w:val="14281A08"/>
    <w:rsid w:val="14B42F04"/>
    <w:rsid w:val="14F06868"/>
    <w:rsid w:val="151514BD"/>
    <w:rsid w:val="153674A4"/>
    <w:rsid w:val="154001A6"/>
    <w:rsid w:val="15410CDB"/>
    <w:rsid w:val="15525935"/>
    <w:rsid w:val="15590991"/>
    <w:rsid w:val="155B17C7"/>
    <w:rsid w:val="15A063BE"/>
    <w:rsid w:val="15B10BFB"/>
    <w:rsid w:val="15CB581E"/>
    <w:rsid w:val="161E391F"/>
    <w:rsid w:val="16660D5E"/>
    <w:rsid w:val="166718DF"/>
    <w:rsid w:val="16A81CB8"/>
    <w:rsid w:val="17893C9B"/>
    <w:rsid w:val="178F6A4D"/>
    <w:rsid w:val="17AC4761"/>
    <w:rsid w:val="17C759AD"/>
    <w:rsid w:val="17E34B78"/>
    <w:rsid w:val="17FB4692"/>
    <w:rsid w:val="18477163"/>
    <w:rsid w:val="184B2CFB"/>
    <w:rsid w:val="18771F8A"/>
    <w:rsid w:val="188631B0"/>
    <w:rsid w:val="18CD0562"/>
    <w:rsid w:val="18F03815"/>
    <w:rsid w:val="18F4642E"/>
    <w:rsid w:val="193C3331"/>
    <w:rsid w:val="19664E8A"/>
    <w:rsid w:val="196C05CF"/>
    <w:rsid w:val="19727CED"/>
    <w:rsid w:val="198C19F9"/>
    <w:rsid w:val="198C5E7A"/>
    <w:rsid w:val="19C3530C"/>
    <w:rsid w:val="19D60B41"/>
    <w:rsid w:val="19DE2C60"/>
    <w:rsid w:val="1A1675B1"/>
    <w:rsid w:val="1A576B35"/>
    <w:rsid w:val="1A792942"/>
    <w:rsid w:val="1AD37F65"/>
    <w:rsid w:val="1B107350"/>
    <w:rsid w:val="1B915323"/>
    <w:rsid w:val="1BA55423"/>
    <w:rsid w:val="1BA90254"/>
    <w:rsid w:val="1BA9377D"/>
    <w:rsid w:val="1BBD5D8D"/>
    <w:rsid w:val="1BC913BE"/>
    <w:rsid w:val="1BCC6E7D"/>
    <w:rsid w:val="1BD73C5B"/>
    <w:rsid w:val="1BDA6009"/>
    <w:rsid w:val="1BF0601F"/>
    <w:rsid w:val="1C203214"/>
    <w:rsid w:val="1C7453C9"/>
    <w:rsid w:val="1C814135"/>
    <w:rsid w:val="1C8E584B"/>
    <w:rsid w:val="1C9F6459"/>
    <w:rsid w:val="1CB02232"/>
    <w:rsid w:val="1CB70FEE"/>
    <w:rsid w:val="1CD7627D"/>
    <w:rsid w:val="1CEE2C2C"/>
    <w:rsid w:val="1CF706CD"/>
    <w:rsid w:val="1D3478BD"/>
    <w:rsid w:val="1D5D6EE3"/>
    <w:rsid w:val="1D712019"/>
    <w:rsid w:val="1DD3302C"/>
    <w:rsid w:val="1DD45297"/>
    <w:rsid w:val="1DED63F8"/>
    <w:rsid w:val="1E3C655A"/>
    <w:rsid w:val="1E635082"/>
    <w:rsid w:val="1E6C4DFA"/>
    <w:rsid w:val="1E8B771F"/>
    <w:rsid w:val="1E9323F4"/>
    <w:rsid w:val="1EDD4C20"/>
    <w:rsid w:val="1EF31233"/>
    <w:rsid w:val="1F011A6A"/>
    <w:rsid w:val="1F4D388B"/>
    <w:rsid w:val="1F5D6901"/>
    <w:rsid w:val="1F7718A8"/>
    <w:rsid w:val="1F9D67B9"/>
    <w:rsid w:val="1FBD4FE3"/>
    <w:rsid w:val="1FC93A32"/>
    <w:rsid w:val="20511721"/>
    <w:rsid w:val="20A43E5C"/>
    <w:rsid w:val="20E2444F"/>
    <w:rsid w:val="20E92B59"/>
    <w:rsid w:val="216C2E13"/>
    <w:rsid w:val="2198050F"/>
    <w:rsid w:val="21C67161"/>
    <w:rsid w:val="2258596F"/>
    <w:rsid w:val="229B16A5"/>
    <w:rsid w:val="22A76807"/>
    <w:rsid w:val="22B17F37"/>
    <w:rsid w:val="22BC3DC0"/>
    <w:rsid w:val="22C42B79"/>
    <w:rsid w:val="22DA5B44"/>
    <w:rsid w:val="22FE0FF6"/>
    <w:rsid w:val="236E08A0"/>
    <w:rsid w:val="23BE7D78"/>
    <w:rsid w:val="23D91F8A"/>
    <w:rsid w:val="240C1F4D"/>
    <w:rsid w:val="240E16D3"/>
    <w:rsid w:val="240F57D2"/>
    <w:rsid w:val="24401B3F"/>
    <w:rsid w:val="244245DE"/>
    <w:rsid w:val="245153A2"/>
    <w:rsid w:val="24A8468C"/>
    <w:rsid w:val="24B564CB"/>
    <w:rsid w:val="24CF2DD8"/>
    <w:rsid w:val="24D46355"/>
    <w:rsid w:val="24D46754"/>
    <w:rsid w:val="24E06F8D"/>
    <w:rsid w:val="250A521C"/>
    <w:rsid w:val="2565703F"/>
    <w:rsid w:val="257337FE"/>
    <w:rsid w:val="25A50335"/>
    <w:rsid w:val="2626492A"/>
    <w:rsid w:val="26466B7E"/>
    <w:rsid w:val="26597BB1"/>
    <w:rsid w:val="26A56459"/>
    <w:rsid w:val="26BC05C1"/>
    <w:rsid w:val="273716A5"/>
    <w:rsid w:val="273B7D97"/>
    <w:rsid w:val="27672A83"/>
    <w:rsid w:val="2769195B"/>
    <w:rsid w:val="277803D8"/>
    <w:rsid w:val="27B17D40"/>
    <w:rsid w:val="27D16F50"/>
    <w:rsid w:val="27E779B7"/>
    <w:rsid w:val="27EE7EA5"/>
    <w:rsid w:val="27EF5AD4"/>
    <w:rsid w:val="280E4387"/>
    <w:rsid w:val="283B7650"/>
    <w:rsid w:val="283C2F8A"/>
    <w:rsid w:val="28716ED4"/>
    <w:rsid w:val="28852B43"/>
    <w:rsid w:val="2897735B"/>
    <w:rsid w:val="28FC235B"/>
    <w:rsid w:val="290F0529"/>
    <w:rsid w:val="293647AF"/>
    <w:rsid w:val="29382CB6"/>
    <w:rsid w:val="29485540"/>
    <w:rsid w:val="294C4D28"/>
    <w:rsid w:val="29C2036E"/>
    <w:rsid w:val="29D03421"/>
    <w:rsid w:val="29DA0484"/>
    <w:rsid w:val="2A0D7DEE"/>
    <w:rsid w:val="2A624508"/>
    <w:rsid w:val="2AAA7D8D"/>
    <w:rsid w:val="2AD4771E"/>
    <w:rsid w:val="2AD52E64"/>
    <w:rsid w:val="2AEC51E1"/>
    <w:rsid w:val="2AF00FFF"/>
    <w:rsid w:val="2B243C3F"/>
    <w:rsid w:val="2B3D0601"/>
    <w:rsid w:val="2B720F5B"/>
    <w:rsid w:val="2B8279FA"/>
    <w:rsid w:val="2BA0080E"/>
    <w:rsid w:val="2BA83690"/>
    <w:rsid w:val="2BBB5891"/>
    <w:rsid w:val="2BF836BF"/>
    <w:rsid w:val="2C336B0D"/>
    <w:rsid w:val="2C411099"/>
    <w:rsid w:val="2C676960"/>
    <w:rsid w:val="2C823CF3"/>
    <w:rsid w:val="2C841126"/>
    <w:rsid w:val="2CA03FEA"/>
    <w:rsid w:val="2CA66EE8"/>
    <w:rsid w:val="2CB67274"/>
    <w:rsid w:val="2CFF0262"/>
    <w:rsid w:val="2D0D3CE6"/>
    <w:rsid w:val="2D291AD8"/>
    <w:rsid w:val="2D6B3E4A"/>
    <w:rsid w:val="2D6E0871"/>
    <w:rsid w:val="2DB651CE"/>
    <w:rsid w:val="2DD91E4D"/>
    <w:rsid w:val="2E0E5C64"/>
    <w:rsid w:val="2E32312F"/>
    <w:rsid w:val="2E7670F4"/>
    <w:rsid w:val="2E781383"/>
    <w:rsid w:val="2E7C696F"/>
    <w:rsid w:val="2EDF746B"/>
    <w:rsid w:val="2EF43B94"/>
    <w:rsid w:val="2F4D0B39"/>
    <w:rsid w:val="2F556278"/>
    <w:rsid w:val="2F5E4714"/>
    <w:rsid w:val="2F623596"/>
    <w:rsid w:val="2F8634BF"/>
    <w:rsid w:val="2F967C50"/>
    <w:rsid w:val="2FC111E0"/>
    <w:rsid w:val="2FEF6FCD"/>
    <w:rsid w:val="30146510"/>
    <w:rsid w:val="30605F89"/>
    <w:rsid w:val="30806213"/>
    <w:rsid w:val="30915831"/>
    <w:rsid w:val="30967F6B"/>
    <w:rsid w:val="30B25DDB"/>
    <w:rsid w:val="30CF66D7"/>
    <w:rsid w:val="30E91206"/>
    <w:rsid w:val="31511C16"/>
    <w:rsid w:val="316C751F"/>
    <w:rsid w:val="3172765E"/>
    <w:rsid w:val="31AF3FB9"/>
    <w:rsid w:val="31BB66FB"/>
    <w:rsid w:val="31E06B7D"/>
    <w:rsid w:val="31EB2DD9"/>
    <w:rsid w:val="3223546A"/>
    <w:rsid w:val="32560D23"/>
    <w:rsid w:val="3276716B"/>
    <w:rsid w:val="32A16CF2"/>
    <w:rsid w:val="335D721A"/>
    <w:rsid w:val="336E0AD3"/>
    <w:rsid w:val="337C34B4"/>
    <w:rsid w:val="33E82A4C"/>
    <w:rsid w:val="342B6486"/>
    <w:rsid w:val="343037A1"/>
    <w:rsid w:val="345873D6"/>
    <w:rsid w:val="347D07F4"/>
    <w:rsid w:val="34BF317B"/>
    <w:rsid w:val="34F55A7E"/>
    <w:rsid w:val="35151160"/>
    <w:rsid w:val="351B0C9B"/>
    <w:rsid w:val="352E7820"/>
    <w:rsid w:val="3532573B"/>
    <w:rsid w:val="35751C7C"/>
    <w:rsid w:val="35BC3308"/>
    <w:rsid w:val="35F5085E"/>
    <w:rsid w:val="360C23B6"/>
    <w:rsid w:val="364F4412"/>
    <w:rsid w:val="36587722"/>
    <w:rsid w:val="369C3564"/>
    <w:rsid w:val="36C06A47"/>
    <w:rsid w:val="37386ED5"/>
    <w:rsid w:val="375F639E"/>
    <w:rsid w:val="377044CF"/>
    <w:rsid w:val="378D25B5"/>
    <w:rsid w:val="37932DB5"/>
    <w:rsid w:val="37B77E9E"/>
    <w:rsid w:val="37CC3B1B"/>
    <w:rsid w:val="37DD6B7D"/>
    <w:rsid w:val="38422B50"/>
    <w:rsid w:val="38437D2E"/>
    <w:rsid w:val="385270B7"/>
    <w:rsid w:val="385E093C"/>
    <w:rsid w:val="387B0479"/>
    <w:rsid w:val="387C678C"/>
    <w:rsid w:val="388E2E81"/>
    <w:rsid w:val="38A821E7"/>
    <w:rsid w:val="38C47CC5"/>
    <w:rsid w:val="38D12C95"/>
    <w:rsid w:val="38D97664"/>
    <w:rsid w:val="39081A3C"/>
    <w:rsid w:val="392F2DC1"/>
    <w:rsid w:val="39406C32"/>
    <w:rsid w:val="39630EB6"/>
    <w:rsid w:val="39BD01E2"/>
    <w:rsid w:val="39EC58CA"/>
    <w:rsid w:val="3A004B46"/>
    <w:rsid w:val="3A3C7179"/>
    <w:rsid w:val="3A557D8A"/>
    <w:rsid w:val="3A6E0369"/>
    <w:rsid w:val="3A8337BF"/>
    <w:rsid w:val="3A845874"/>
    <w:rsid w:val="3AAB5E4C"/>
    <w:rsid w:val="3ACC668A"/>
    <w:rsid w:val="3AD4258F"/>
    <w:rsid w:val="3AD811B5"/>
    <w:rsid w:val="3AD81BEF"/>
    <w:rsid w:val="3B0E0667"/>
    <w:rsid w:val="3B155330"/>
    <w:rsid w:val="3B1D2185"/>
    <w:rsid w:val="3B2E5770"/>
    <w:rsid w:val="3B4F2D5F"/>
    <w:rsid w:val="3B6A4BA5"/>
    <w:rsid w:val="3B946458"/>
    <w:rsid w:val="3B9F48B6"/>
    <w:rsid w:val="3C555A6F"/>
    <w:rsid w:val="3C76674C"/>
    <w:rsid w:val="3CD74934"/>
    <w:rsid w:val="3D3E2A19"/>
    <w:rsid w:val="3DD4103B"/>
    <w:rsid w:val="3DDC1DCD"/>
    <w:rsid w:val="3E011486"/>
    <w:rsid w:val="3E025EF9"/>
    <w:rsid w:val="3E124D83"/>
    <w:rsid w:val="3E1D15D5"/>
    <w:rsid w:val="3EBB3666"/>
    <w:rsid w:val="3ED8675B"/>
    <w:rsid w:val="3EF71F66"/>
    <w:rsid w:val="3F2A1CB8"/>
    <w:rsid w:val="3F4D1F33"/>
    <w:rsid w:val="3F577277"/>
    <w:rsid w:val="3F9F4CB0"/>
    <w:rsid w:val="3FA53D77"/>
    <w:rsid w:val="3FB5106A"/>
    <w:rsid w:val="3FCE5FBC"/>
    <w:rsid w:val="3FFB4EFE"/>
    <w:rsid w:val="401271BE"/>
    <w:rsid w:val="401A7506"/>
    <w:rsid w:val="406528A3"/>
    <w:rsid w:val="40B90D13"/>
    <w:rsid w:val="412814F7"/>
    <w:rsid w:val="41570042"/>
    <w:rsid w:val="41986A11"/>
    <w:rsid w:val="41C8334E"/>
    <w:rsid w:val="41F60918"/>
    <w:rsid w:val="42207EB4"/>
    <w:rsid w:val="42364091"/>
    <w:rsid w:val="424F0924"/>
    <w:rsid w:val="424F39DC"/>
    <w:rsid w:val="42546164"/>
    <w:rsid w:val="425A63FD"/>
    <w:rsid w:val="42D9351A"/>
    <w:rsid w:val="42E223F9"/>
    <w:rsid w:val="43014B2D"/>
    <w:rsid w:val="4326187A"/>
    <w:rsid w:val="432B4B0C"/>
    <w:rsid w:val="43344251"/>
    <w:rsid w:val="437A5FAD"/>
    <w:rsid w:val="43C73D2E"/>
    <w:rsid w:val="4412142E"/>
    <w:rsid w:val="443E0A11"/>
    <w:rsid w:val="446542A5"/>
    <w:rsid w:val="44C554C5"/>
    <w:rsid w:val="44F24ADB"/>
    <w:rsid w:val="452F2FBD"/>
    <w:rsid w:val="454516CB"/>
    <w:rsid w:val="454860CF"/>
    <w:rsid w:val="456E2C36"/>
    <w:rsid w:val="456E4DC1"/>
    <w:rsid w:val="4599717D"/>
    <w:rsid w:val="45AA0306"/>
    <w:rsid w:val="45E43CB5"/>
    <w:rsid w:val="4603315D"/>
    <w:rsid w:val="46130120"/>
    <w:rsid w:val="46163AA0"/>
    <w:rsid w:val="468B7F9F"/>
    <w:rsid w:val="46DB3D69"/>
    <w:rsid w:val="47125A34"/>
    <w:rsid w:val="47381FF1"/>
    <w:rsid w:val="47E43C19"/>
    <w:rsid w:val="47FE6317"/>
    <w:rsid w:val="48174342"/>
    <w:rsid w:val="481938F4"/>
    <w:rsid w:val="481B282C"/>
    <w:rsid w:val="48430384"/>
    <w:rsid w:val="4896715A"/>
    <w:rsid w:val="491343AD"/>
    <w:rsid w:val="492017AD"/>
    <w:rsid w:val="49B61F0A"/>
    <w:rsid w:val="49BC070A"/>
    <w:rsid w:val="49EA378C"/>
    <w:rsid w:val="4A50608E"/>
    <w:rsid w:val="4A853337"/>
    <w:rsid w:val="4A89799A"/>
    <w:rsid w:val="4AB36025"/>
    <w:rsid w:val="4AB82E4D"/>
    <w:rsid w:val="4AF430C3"/>
    <w:rsid w:val="4AF61407"/>
    <w:rsid w:val="4B045EBA"/>
    <w:rsid w:val="4B1719D9"/>
    <w:rsid w:val="4B37590C"/>
    <w:rsid w:val="4B3C695C"/>
    <w:rsid w:val="4B7F075A"/>
    <w:rsid w:val="4BBD4C64"/>
    <w:rsid w:val="4BE045D7"/>
    <w:rsid w:val="4C5827E1"/>
    <w:rsid w:val="4C660299"/>
    <w:rsid w:val="4C7616E3"/>
    <w:rsid w:val="4C9176B2"/>
    <w:rsid w:val="4CAB4A4D"/>
    <w:rsid w:val="4CBC1A76"/>
    <w:rsid w:val="4D4517F2"/>
    <w:rsid w:val="4D6B1D25"/>
    <w:rsid w:val="4DC339FB"/>
    <w:rsid w:val="4DD3633D"/>
    <w:rsid w:val="4DE5642A"/>
    <w:rsid w:val="4DFF2ACC"/>
    <w:rsid w:val="4E130A0D"/>
    <w:rsid w:val="4E384662"/>
    <w:rsid w:val="4E5C30CF"/>
    <w:rsid w:val="4E754DC8"/>
    <w:rsid w:val="4E8D6872"/>
    <w:rsid w:val="4E9405C2"/>
    <w:rsid w:val="4ECB4074"/>
    <w:rsid w:val="4ED5220D"/>
    <w:rsid w:val="4EDA7A26"/>
    <w:rsid w:val="4EE66C51"/>
    <w:rsid w:val="4F097C45"/>
    <w:rsid w:val="4F4826D9"/>
    <w:rsid w:val="4F4A6B7E"/>
    <w:rsid w:val="4F7F146C"/>
    <w:rsid w:val="4FFF126E"/>
    <w:rsid w:val="501B345D"/>
    <w:rsid w:val="50355EE6"/>
    <w:rsid w:val="503C4DE4"/>
    <w:rsid w:val="504812C4"/>
    <w:rsid w:val="50740708"/>
    <w:rsid w:val="509C1F3C"/>
    <w:rsid w:val="50A2558A"/>
    <w:rsid w:val="50BB1339"/>
    <w:rsid w:val="50F951BD"/>
    <w:rsid w:val="51074D95"/>
    <w:rsid w:val="51201109"/>
    <w:rsid w:val="513335F8"/>
    <w:rsid w:val="517256CF"/>
    <w:rsid w:val="51751A5E"/>
    <w:rsid w:val="51C21B5C"/>
    <w:rsid w:val="520B28F0"/>
    <w:rsid w:val="523D6631"/>
    <w:rsid w:val="524E6D42"/>
    <w:rsid w:val="528F430C"/>
    <w:rsid w:val="5296438C"/>
    <w:rsid w:val="531F2BA4"/>
    <w:rsid w:val="53423D95"/>
    <w:rsid w:val="53910024"/>
    <w:rsid w:val="53984ED9"/>
    <w:rsid w:val="53DA0B8E"/>
    <w:rsid w:val="53E56E0F"/>
    <w:rsid w:val="548931D1"/>
    <w:rsid w:val="54972E53"/>
    <w:rsid w:val="54984DD0"/>
    <w:rsid w:val="54C41649"/>
    <w:rsid w:val="54ED0C26"/>
    <w:rsid w:val="54FC7631"/>
    <w:rsid w:val="550661A1"/>
    <w:rsid w:val="551E7FCF"/>
    <w:rsid w:val="5555648E"/>
    <w:rsid w:val="55944046"/>
    <w:rsid w:val="55EE57F4"/>
    <w:rsid w:val="55FA0902"/>
    <w:rsid w:val="56A22E34"/>
    <w:rsid w:val="56BF7428"/>
    <w:rsid w:val="56F41530"/>
    <w:rsid w:val="5701512E"/>
    <w:rsid w:val="57055579"/>
    <w:rsid w:val="574D0E75"/>
    <w:rsid w:val="576542FA"/>
    <w:rsid w:val="57942795"/>
    <w:rsid w:val="579709B1"/>
    <w:rsid w:val="57F22F9A"/>
    <w:rsid w:val="580049FE"/>
    <w:rsid w:val="58050A63"/>
    <w:rsid w:val="5825268D"/>
    <w:rsid w:val="582F04FF"/>
    <w:rsid w:val="58325DE8"/>
    <w:rsid w:val="58937D37"/>
    <w:rsid w:val="58B91C75"/>
    <w:rsid w:val="58E760B5"/>
    <w:rsid w:val="58E91B32"/>
    <w:rsid w:val="58EE7E75"/>
    <w:rsid w:val="591271AE"/>
    <w:rsid w:val="5926601A"/>
    <w:rsid w:val="593F47FB"/>
    <w:rsid w:val="597E41E7"/>
    <w:rsid w:val="59802427"/>
    <w:rsid w:val="59922954"/>
    <w:rsid w:val="59C26D85"/>
    <w:rsid w:val="59ED1504"/>
    <w:rsid w:val="5A032274"/>
    <w:rsid w:val="5A3C3C2B"/>
    <w:rsid w:val="5A7009C3"/>
    <w:rsid w:val="5A7D709F"/>
    <w:rsid w:val="5A9D6C95"/>
    <w:rsid w:val="5AAB1F33"/>
    <w:rsid w:val="5AC620A8"/>
    <w:rsid w:val="5AC7557B"/>
    <w:rsid w:val="5AEB777B"/>
    <w:rsid w:val="5B193B3D"/>
    <w:rsid w:val="5B2D07A3"/>
    <w:rsid w:val="5B2E7D21"/>
    <w:rsid w:val="5B91705D"/>
    <w:rsid w:val="5B9A7177"/>
    <w:rsid w:val="5BB9054E"/>
    <w:rsid w:val="5BBB6D0B"/>
    <w:rsid w:val="5BD67531"/>
    <w:rsid w:val="5C1066FD"/>
    <w:rsid w:val="5C2022FD"/>
    <w:rsid w:val="5C354C5F"/>
    <w:rsid w:val="5C5566AB"/>
    <w:rsid w:val="5C720816"/>
    <w:rsid w:val="5C786B47"/>
    <w:rsid w:val="5CAD72A2"/>
    <w:rsid w:val="5CF32ADF"/>
    <w:rsid w:val="5CF61214"/>
    <w:rsid w:val="5D3063B0"/>
    <w:rsid w:val="5D517384"/>
    <w:rsid w:val="5D603816"/>
    <w:rsid w:val="5DDC695C"/>
    <w:rsid w:val="5E0E3474"/>
    <w:rsid w:val="5E337260"/>
    <w:rsid w:val="5E592843"/>
    <w:rsid w:val="5E8D4431"/>
    <w:rsid w:val="5E9D01BC"/>
    <w:rsid w:val="5EA65144"/>
    <w:rsid w:val="5EE52A17"/>
    <w:rsid w:val="5F2A38C8"/>
    <w:rsid w:val="5F2D427A"/>
    <w:rsid w:val="5F4E54BF"/>
    <w:rsid w:val="5F7A6CB8"/>
    <w:rsid w:val="5FA266DD"/>
    <w:rsid w:val="5FDE562A"/>
    <w:rsid w:val="5FFC3243"/>
    <w:rsid w:val="60112E52"/>
    <w:rsid w:val="602A173E"/>
    <w:rsid w:val="60344303"/>
    <w:rsid w:val="604F3E46"/>
    <w:rsid w:val="60507336"/>
    <w:rsid w:val="60BE5F5D"/>
    <w:rsid w:val="60DF041C"/>
    <w:rsid w:val="612753CF"/>
    <w:rsid w:val="612B7BEF"/>
    <w:rsid w:val="61315C86"/>
    <w:rsid w:val="614317C9"/>
    <w:rsid w:val="61766107"/>
    <w:rsid w:val="617D09DE"/>
    <w:rsid w:val="61C42C65"/>
    <w:rsid w:val="61C86CA3"/>
    <w:rsid w:val="620828D8"/>
    <w:rsid w:val="62113437"/>
    <w:rsid w:val="622C2EFC"/>
    <w:rsid w:val="6245400D"/>
    <w:rsid w:val="626D24DE"/>
    <w:rsid w:val="628F3349"/>
    <w:rsid w:val="62927BF1"/>
    <w:rsid w:val="62EF6D10"/>
    <w:rsid w:val="62F30EB1"/>
    <w:rsid w:val="635948E2"/>
    <w:rsid w:val="635E1078"/>
    <w:rsid w:val="63842FEA"/>
    <w:rsid w:val="63882B85"/>
    <w:rsid w:val="641A1138"/>
    <w:rsid w:val="643369DC"/>
    <w:rsid w:val="64381343"/>
    <w:rsid w:val="64594FB1"/>
    <w:rsid w:val="645E2BB9"/>
    <w:rsid w:val="6471637E"/>
    <w:rsid w:val="648D1ADE"/>
    <w:rsid w:val="64B201B4"/>
    <w:rsid w:val="64C9608F"/>
    <w:rsid w:val="64E451FD"/>
    <w:rsid w:val="650B4E0D"/>
    <w:rsid w:val="65193B56"/>
    <w:rsid w:val="654B0B7E"/>
    <w:rsid w:val="65541429"/>
    <w:rsid w:val="65F43A43"/>
    <w:rsid w:val="66007D67"/>
    <w:rsid w:val="66540A25"/>
    <w:rsid w:val="666716D8"/>
    <w:rsid w:val="667C30EE"/>
    <w:rsid w:val="66866574"/>
    <w:rsid w:val="67034BC6"/>
    <w:rsid w:val="670C098E"/>
    <w:rsid w:val="670F311C"/>
    <w:rsid w:val="673C6C8C"/>
    <w:rsid w:val="677B2AD6"/>
    <w:rsid w:val="678828CA"/>
    <w:rsid w:val="67C968A9"/>
    <w:rsid w:val="67CB6D04"/>
    <w:rsid w:val="67D11A4E"/>
    <w:rsid w:val="68330FDA"/>
    <w:rsid w:val="685E5471"/>
    <w:rsid w:val="68951F6A"/>
    <w:rsid w:val="68C411AE"/>
    <w:rsid w:val="68CA342B"/>
    <w:rsid w:val="68E5638C"/>
    <w:rsid w:val="68EB5B63"/>
    <w:rsid w:val="68FD72AE"/>
    <w:rsid w:val="69005E09"/>
    <w:rsid w:val="69053C07"/>
    <w:rsid w:val="69255E3E"/>
    <w:rsid w:val="6986382A"/>
    <w:rsid w:val="6A046CFF"/>
    <w:rsid w:val="6A300CFC"/>
    <w:rsid w:val="6A85543A"/>
    <w:rsid w:val="6AC04E66"/>
    <w:rsid w:val="6AC2149E"/>
    <w:rsid w:val="6ADF442B"/>
    <w:rsid w:val="6B9D1696"/>
    <w:rsid w:val="6BE5328A"/>
    <w:rsid w:val="6BED7125"/>
    <w:rsid w:val="6C293E96"/>
    <w:rsid w:val="6C297FF8"/>
    <w:rsid w:val="6C637A61"/>
    <w:rsid w:val="6C8D3167"/>
    <w:rsid w:val="6D503D46"/>
    <w:rsid w:val="6D875008"/>
    <w:rsid w:val="6DB9212E"/>
    <w:rsid w:val="6DE641DA"/>
    <w:rsid w:val="6E0D3A9A"/>
    <w:rsid w:val="6E714823"/>
    <w:rsid w:val="6EA62773"/>
    <w:rsid w:val="6EAA247C"/>
    <w:rsid w:val="6EDC08B9"/>
    <w:rsid w:val="6EFD5AB2"/>
    <w:rsid w:val="6F5C4123"/>
    <w:rsid w:val="6F700653"/>
    <w:rsid w:val="6F770694"/>
    <w:rsid w:val="6F797C4B"/>
    <w:rsid w:val="7019038E"/>
    <w:rsid w:val="70314809"/>
    <w:rsid w:val="703C5B33"/>
    <w:rsid w:val="7085475A"/>
    <w:rsid w:val="70C507E8"/>
    <w:rsid w:val="70C71E93"/>
    <w:rsid w:val="70E542AF"/>
    <w:rsid w:val="70FD2A48"/>
    <w:rsid w:val="712B01C0"/>
    <w:rsid w:val="71345D01"/>
    <w:rsid w:val="713D78D4"/>
    <w:rsid w:val="71413A82"/>
    <w:rsid w:val="71471076"/>
    <w:rsid w:val="714B6FA9"/>
    <w:rsid w:val="71774472"/>
    <w:rsid w:val="71E227DD"/>
    <w:rsid w:val="720440FD"/>
    <w:rsid w:val="72176CD5"/>
    <w:rsid w:val="72205A6F"/>
    <w:rsid w:val="729C1B07"/>
    <w:rsid w:val="72A67376"/>
    <w:rsid w:val="72E12FD5"/>
    <w:rsid w:val="73047AF2"/>
    <w:rsid w:val="73122CEB"/>
    <w:rsid w:val="739B17BC"/>
    <w:rsid w:val="739E479F"/>
    <w:rsid w:val="73C26D1F"/>
    <w:rsid w:val="73D5323B"/>
    <w:rsid w:val="73EF2E4D"/>
    <w:rsid w:val="747449A3"/>
    <w:rsid w:val="749114B5"/>
    <w:rsid w:val="74994D14"/>
    <w:rsid w:val="74AE1D28"/>
    <w:rsid w:val="74C57072"/>
    <w:rsid w:val="74CB28E9"/>
    <w:rsid w:val="74E64295"/>
    <w:rsid w:val="75086ED3"/>
    <w:rsid w:val="753F3DA3"/>
    <w:rsid w:val="7544443B"/>
    <w:rsid w:val="757061DD"/>
    <w:rsid w:val="757B73CA"/>
    <w:rsid w:val="75B15068"/>
    <w:rsid w:val="75B207B4"/>
    <w:rsid w:val="75E0514D"/>
    <w:rsid w:val="765332A9"/>
    <w:rsid w:val="76763BCF"/>
    <w:rsid w:val="76962FCD"/>
    <w:rsid w:val="76983744"/>
    <w:rsid w:val="76A23DDB"/>
    <w:rsid w:val="76D67D67"/>
    <w:rsid w:val="76ED7BF7"/>
    <w:rsid w:val="770723CB"/>
    <w:rsid w:val="770C357A"/>
    <w:rsid w:val="77107F4C"/>
    <w:rsid w:val="772B76BE"/>
    <w:rsid w:val="77334A36"/>
    <w:rsid w:val="776177BF"/>
    <w:rsid w:val="77CB6CA9"/>
    <w:rsid w:val="78395A75"/>
    <w:rsid w:val="78672766"/>
    <w:rsid w:val="78686692"/>
    <w:rsid w:val="78B91EDE"/>
    <w:rsid w:val="78E27BE7"/>
    <w:rsid w:val="78F974CE"/>
    <w:rsid w:val="798F05AB"/>
    <w:rsid w:val="79B5503E"/>
    <w:rsid w:val="79CF293B"/>
    <w:rsid w:val="79CF3219"/>
    <w:rsid w:val="79D03902"/>
    <w:rsid w:val="79DC5701"/>
    <w:rsid w:val="79F01952"/>
    <w:rsid w:val="7A4D1F94"/>
    <w:rsid w:val="7A68524E"/>
    <w:rsid w:val="7AB6093A"/>
    <w:rsid w:val="7ABC6B5A"/>
    <w:rsid w:val="7ACC4144"/>
    <w:rsid w:val="7B95230A"/>
    <w:rsid w:val="7C347785"/>
    <w:rsid w:val="7C7E393A"/>
    <w:rsid w:val="7C9D1EBB"/>
    <w:rsid w:val="7CD51F65"/>
    <w:rsid w:val="7CE21942"/>
    <w:rsid w:val="7CE640B3"/>
    <w:rsid w:val="7D126A94"/>
    <w:rsid w:val="7D1A2BCE"/>
    <w:rsid w:val="7D6903CE"/>
    <w:rsid w:val="7D841415"/>
    <w:rsid w:val="7DCD72AC"/>
    <w:rsid w:val="7DD51ADE"/>
    <w:rsid w:val="7E2146A1"/>
    <w:rsid w:val="7E2D027F"/>
    <w:rsid w:val="7E3156BE"/>
    <w:rsid w:val="7E720871"/>
    <w:rsid w:val="7E780ACD"/>
    <w:rsid w:val="7EB018AB"/>
    <w:rsid w:val="7F3B2927"/>
    <w:rsid w:val="7F412E76"/>
    <w:rsid w:val="7F5C3FA0"/>
    <w:rsid w:val="7F7905E8"/>
    <w:rsid w:val="7FAA73D2"/>
    <w:rsid w:val="7FC15E7B"/>
    <w:rsid w:val="7FDF7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semiHidden="0" w:name="toc 1"/>
    <w:lsdException w:qFormat="1" w:unhideWhenUsed="0" w:uiPriority="0" w:semiHidden="0" w:name="toc 2"/>
    <w:lsdException w:qFormat="1"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qFormat="1"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99"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5">
    <w:name w:val="heading 3"/>
    <w:basedOn w:val="1"/>
    <w:next w:val="1"/>
    <w:qFormat/>
    <w:uiPriority w:val="0"/>
    <w:pPr>
      <w:keepNext/>
      <w:keepLines/>
      <w:spacing w:line="360" w:lineRule="auto"/>
      <w:outlineLvl w:val="2"/>
    </w:pPr>
    <w:rPr>
      <w:b/>
      <w:bCs/>
      <w:sz w:val="24"/>
      <w:szCs w:val="32"/>
    </w:rPr>
  </w:style>
  <w:style w:type="paragraph" w:styleId="6">
    <w:name w:val="heading 7"/>
    <w:basedOn w:val="1"/>
    <w:next w:val="1"/>
    <w:link w:val="90"/>
    <w:unhideWhenUsed/>
    <w:qFormat/>
    <w:uiPriority w:val="0"/>
    <w:pPr>
      <w:keepNext/>
      <w:keepLines/>
      <w:spacing w:before="240" w:after="64" w:line="320" w:lineRule="auto"/>
      <w:outlineLvl w:val="6"/>
    </w:pPr>
    <w:rPr>
      <w:b/>
      <w:bCs/>
      <w:sz w:val="24"/>
      <w:szCs w:val="24"/>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80" w:firstLineChars="200"/>
      <w:pPrChange w:id="0" w:author="Windows User" w:date="2025-01-10T13:27:00Z">
        <w:pPr>
          <w:widowControl w:val="0"/>
          <w:ind w:firstLine="420" w:firstLineChars="200"/>
          <w:jc w:val="both"/>
        </w:pPr>
      </w:pPrChange>
    </w:pPr>
    <w:rPr>
      <w:rFonts w:ascii="仿宋" w:hAnsi="仿宋" w:eastAsia="仿宋"/>
      <w:sz w:val="24"/>
      <w:szCs w:val="24"/>
      <w:rPrChange w:id="1" w:author="Windows User" w:date="2025-01-10T13:27:00Z">
        <w:rPr>
          <w:rFonts w:eastAsia="宋体"/>
          <w:kern w:val="2"/>
          <w:sz w:val="21"/>
          <w:szCs w:val="22"/>
          <w:lang w:val="en-US" w:eastAsia="zh-CN" w:bidi="ar-SA"/>
        </w:rPr>
      </w:rPrChange>
    </w:rPr>
  </w:style>
  <w:style w:type="paragraph" w:styleId="7">
    <w:name w:val="caption"/>
    <w:basedOn w:val="1"/>
    <w:next w:val="1"/>
    <w:unhideWhenUsed/>
    <w:qFormat/>
    <w:uiPriority w:val="0"/>
    <w:rPr>
      <w:rFonts w:eastAsia="黑体" w:asciiTheme="majorHAnsi" w:hAnsiTheme="majorHAnsi" w:cstheme="majorBidi"/>
      <w:sz w:val="20"/>
    </w:rPr>
  </w:style>
  <w:style w:type="paragraph" w:styleId="8">
    <w:name w:val="annotation text"/>
    <w:basedOn w:val="1"/>
    <w:link w:val="84"/>
    <w:unhideWhenUsed/>
    <w:qFormat/>
    <w:uiPriority w:val="0"/>
    <w:pPr>
      <w:jc w:val="left"/>
    </w:pPr>
  </w:style>
  <w:style w:type="paragraph" w:styleId="9">
    <w:name w:val="Body Text"/>
    <w:basedOn w:val="1"/>
    <w:next w:val="1"/>
    <w:qFormat/>
    <w:uiPriority w:val="0"/>
    <w:pPr>
      <w:spacing w:line="360" w:lineRule="exact"/>
    </w:pPr>
    <w:rPr>
      <w:rFonts w:ascii="方正仿宋简体" w:hAnsi="方正仿宋简体" w:cs="方正仿宋简体"/>
      <w:sz w:val="28"/>
    </w:rPr>
  </w:style>
  <w:style w:type="paragraph" w:styleId="10">
    <w:name w:val="Body Text Indent"/>
    <w:basedOn w:val="11"/>
    <w:link w:val="89"/>
    <w:unhideWhenUsed/>
    <w:qFormat/>
    <w:uiPriority w:val="99"/>
    <w:pPr>
      <w:spacing w:after="120"/>
      <w:ind w:left="420" w:leftChars="200"/>
    </w:pPr>
    <w:rPr>
      <w:color w:val="000000"/>
      <w:kern w:val="0"/>
      <w:sz w:val="30"/>
    </w:rPr>
  </w:style>
  <w:style w:type="paragraph" w:customStyle="1" w:styleId="11">
    <w:name w:val="Normal_7_0"/>
    <w:qFormat/>
    <w:uiPriority w:val="0"/>
    <w:pPr>
      <w:widowControl w:val="0"/>
      <w:jc w:val="both"/>
    </w:pPr>
    <w:rPr>
      <w:rFonts w:ascii="宋体" w:hAnsi="宋体" w:eastAsia="宋体" w:cs="宋体"/>
      <w:sz w:val="21"/>
      <w:szCs w:val="22"/>
      <w:lang w:val="en-US" w:eastAsia="zh-CN" w:bidi="ar-SA"/>
    </w:rPr>
  </w:style>
  <w:style w:type="paragraph" w:styleId="12">
    <w:name w:val="toc 3"/>
    <w:basedOn w:val="1"/>
    <w:next w:val="1"/>
    <w:unhideWhenUsed/>
    <w:qFormat/>
    <w:uiPriority w:val="0"/>
    <w:pPr>
      <w:ind w:left="840" w:leftChars="400"/>
    </w:pPr>
  </w:style>
  <w:style w:type="paragraph" w:styleId="13">
    <w:name w:val="Plain Text"/>
    <w:basedOn w:val="1"/>
    <w:qFormat/>
    <w:uiPriority w:val="0"/>
    <w:rPr>
      <w:rFonts w:ascii="宋体" w:hAnsi="Courier New"/>
      <w:szCs w:val="21"/>
    </w:rPr>
  </w:style>
  <w:style w:type="paragraph" w:styleId="14">
    <w:name w:val="Date"/>
    <w:basedOn w:val="1"/>
    <w:next w:val="1"/>
    <w:link w:val="86"/>
    <w:unhideWhenUsed/>
    <w:qFormat/>
    <w:uiPriority w:val="0"/>
    <w:pPr>
      <w:ind w:left="100" w:leftChars="2500"/>
    </w:pPr>
  </w:style>
  <w:style w:type="paragraph" w:styleId="15">
    <w:name w:val="endnote text"/>
    <w:basedOn w:val="1"/>
    <w:unhideWhenUsed/>
    <w:qFormat/>
    <w:uiPriority w:val="0"/>
    <w:pPr>
      <w:snapToGrid w:val="0"/>
      <w:jc w:val="left"/>
    </w:pPr>
    <w:rPr>
      <w:rFonts w:hint="eastAsia" w:eastAsia="Times New Roman"/>
      <w:sz w:val="24"/>
      <w:szCs w:val="22"/>
    </w:rPr>
  </w:style>
  <w:style w:type="paragraph" w:styleId="16">
    <w:name w:val="Balloon Text"/>
    <w:basedOn w:val="1"/>
    <w:link w:val="83"/>
    <w:qFormat/>
    <w:uiPriority w:val="0"/>
    <w:rPr>
      <w:sz w:val="18"/>
      <w:szCs w:val="18"/>
    </w:rPr>
  </w:style>
  <w:style w:type="paragraph" w:styleId="17">
    <w:name w:val="footer"/>
    <w:basedOn w:val="1"/>
    <w:link w:val="82"/>
    <w:qFormat/>
    <w:uiPriority w:val="0"/>
    <w:pPr>
      <w:tabs>
        <w:tab w:val="center" w:pos="4153"/>
        <w:tab w:val="right" w:pos="8306"/>
      </w:tabs>
      <w:snapToGrid w:val="0"/>
      <w:jc w:val="left"/>
    </w:pPr>
    <w:rPr>
      <w:sz w:val="18"/>
      <w:szCs w:val="18"/>
    </w:rPr>
  </w:style>
  <w:style w:type="paragraph" w:styleId="18">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0"/>
  </w:style>
  <w:style w:type="paragraph" w:styleId="20">
    <w:name w:val="toc 2"/>
    <w:basedOn w:val="1"/>
    <w:next w:val="1"/>
    <w:qFormat/>
    <w:uiPriority w:val="0"/>
    <w:pPr>
      <w:ind w:left="420" w:leftChars="200"/>
    </w:pPr>
    <w:rPr>
      <w:sz w:val="24"/>
      <w:szCs w:val="22"/>
    </w:rPr>
  </w:style>
  <w:style w:type="paragraph" w:styleId="21">
    <w:name w:val="Body Text 2"/>
    <w:basedOn w:val="1"/>
    <w:qFormat/>
    <w:uiPriority w:val="0"/>
    <w:rPr>
      <w:rFonts w:ascii="Calibri" w:hAnsi="Calibri" w:cs="Calibri"/>
    </w:rPr>
  </w:style>
  <w:style w:type="paragraph" w:styleId="22">
    <w:name w:val="Normal (Web)"/>
    <w:basedOn w:val="1"/>
    <w:qFormat/>
    <w:uiPriority w:val="99"/>
    <w:pPr>
      <w:widowControl/>
      <w:jc w:val="left"/>
    </w:pPr>
    <w:rPr>
      <w:rFonts w:ascii="宋体" w:hAnsi="宋体" w:cs="宋体"/>
      <w:kern w:val="0"/>
      <w:sz w:val="24"/>
      <w:szCs w:val="24"/>
    </w:rPr>
  </w:style>
  <w:style w:type="paragraph" w:styleId="23">
    <w:name w:val="annotation subject"/>
    <w:basedOn w:val="8"/>
    <w:next w:val="8"/>
    <w:link w:val="85"/>
    <w:unhideWhenUsed/>
    <w:qFormat/>
    <w:uiPriority w:val="0"/>
    <w:rPr>
      <w:b/>
      <w:bCs/>
    </w:rPr>
  </w:style>
  <w:style w:type="paragraph" w:styleId="24">
    <w:name w:val="Body Text First Indent"/>
    <w:basedOn w:val="9"/>
    <w:qFormat/>
    <w:uiPriority w:val="0"/>
    <w:pPr>
      <w:ind w:firstLine="200" w:firstLineChars="200"/>
    </w:pPr>
    <w:rPr>
      <w:rFonts w:ascii="Arial" w:hAnsi="Arial" w:eastAsia="仿宋_GB2312"/>
      <w:kern w:val="0"/>
      <w:szCs w:val="21"/>
    </w:rPr>
  </w:style>
  <w:style w:type="paragraph" w:styleId="25">
    <w:name w:val="Body Text First Indent 2"/>
    <w:basedOn w:val="10"/>
    <w:next w:val="1"/>
    <w:unhideWhenUsed/>
    <w:qFormat/>
    <w:uiPriority w:val="99"/>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FollowedHyperlink"/>
    <w:basedOn w:val="28"/>
    <w:qFormat/>
    <w:uiPriority w:val="0"/>
    <w:rPr>
      <w:color w:val="296FBE"/>
      <w:u w:val="none"/>
    </w:rPr>
  </w:style>
  <w:style w:type="character" w:styleId="30">
    <w:name w:val="HTML Definition"/>
    <w:basedOn w:val="28"/>
    <w:qFormat/>
    <w:uiPriority w:val="0"/>
  </w:style>
  <w:style w:type="character" w:styleId="31">
    <w:name w:val="HTML Variable"/>
    <w:basedOn w:val="28"/>
    <w:qFormat/>
    <w:uiPriority w:val="0"/>
  </w:style>
  <w:style w:type="character" w:styleId="32">
    <w:name w:val="Hyperlink"/>
    <w:basedOn w:val="28"/>
    <w:qFormat/>
    <w:uiPriority w:val="0"/>
    <w:rPr>
      <w:color w:val="296FBE"/>
      <w:u w:val="none"/>
    </w:rPr>
  </w:style>
  <w:style w:type="character" w:styleId="33">
    <w:name w:val="HTML Code"/>
    <w:basedOn w:val="28"/>
    <w:qFormat/>
    <w:uiPriority w:val="0"/>
    <w:rPr>
      <w:rFonts w:ascii="微软雅黑" w:hAnsi="微软雅黑" w:eastAsia="微软雅黑" w:cs="微软雅黑"/>
      <w:sz w:val="20"/>
    </w:rPr>
  </w:style>
  <w:style w:type="character" w:styleId="34">
    <w:name w:val="annotation reference"/>
    <w:basedOn w:val="28"/>
    <w:unhideWhenUsed/>
    <w:qFormat/>
    <w:uiPriority w:val="0"/>
    <w:rPr>
      <w:sz w:val="21"/>
      <w:szCs w:val="21"/>
    </w:rPr>
  </w:style>
  <w:style w:type="character" w:styleId="35">
    <w:name w:val="HTML Cite"/>
    <w:basedOn w:val="28"/>
    <w:qFormat/>
    <w:uiPriority w:val="99"/>
  </w:style>
  <w:style w:type="paragraph" w:customStyle="1" w:styleId="36">
    <w:name w:val="p0"/>
    <w:basedOn w:val="1"/>
    <w:qFormat/>
    <w:uiPriority w:val="0"/>
    <w:pPr>
      <w:widowControl/>
    </w:pPr>
    <w:rPr>
      <w:kern w:val="0"/>
      <w:szCs w:val="21"/>
    </w:rPr>
  </w:style>
  <w:style w:type="character" w:customStyle="1" w:styleId="37">
    <w:name w:val="biggerthanmax"/>
    <w:basedOn w:val="28"/>
    <w:qFormat/>
    <w:uiPriority w:val="0"/>
    <w:rPr>
      <w:shd w:val="clear" w:color="auto" w:fill="FFFF00"/>
    </w:rPr>
  </w:style>
  <w:style w:type="character" w:customStyle="1" w:styleId="38">
    <w:name w:val="color_gray"/>
    <w:basedOn w:val="28"/>
    <w:qFormat/>
    <w:uiPriority w:val="0"/>
    <w:rPr>
      <w:color w:val="999999"/>
    </w:rPr>
  </w:style>
  <w:style w:type="character" w:customStyle="1" w:styleId="39">
    <w:name w:val="design_class"/>
    <w:basedOn w:val="28"/>
    <w:qFormat/>
    <w:uiPriority w:val="0"/>
  </w:style>
  <w:style w:type="character" w:customStyle="1" w:styleId="40">
    <w:name w:val="tmpztreemove_arrow"/>
    <w:basedOn w:val="28"/>
    <w:qFormat/>
    <w:uiPriority w:val="0"/>
  </w:style>
  <w:style w:type="character" w:customStyle="1" w:styleId="41">
    <w:name w:val="button"/>
    <w:basedOn w:val="28"/>
    <w:qFormat/>
    <w:uiPriority w:val="0"/>
  </w:style>
  <w:style w:type="character" w:customStyle="1" w:styleId="42">
    <w:name w:val="layui-layer-tabnow"/>
    <w:basedOn w:val="28"/>
    <w:qFormat/>
    <w:uiPriority w:val="0"/>
    <w:rPr>
      <w:bdr w:val="single" w:color="CCCCCC" w:sz="6" w:space="0"/>
      <w:shd w:val="clear" w:color="auto" w:fill="FFFFFF"/>
    </w:rPr>
  </w:style>
  <w:style w:type="character" w:customStyle="1" w:styleId="43">
    <w:name w:val="first-child"/>
    <w:basedOn w:val="28"/>
    <w:qFormat/>
    <w:uiPriority w:val="0"/>
  </w:style>
  <w:style w:type="character" w:customStyle="1" w:styleId="44">
    <w:name w:val="choosename"/>
    <w:basedOn w:val="28"/>
    <w:qFormat/>
    <w:uiPriority w:val="0"/>
  </w:style>
  <w:style w:type="character" w:customStyle="1" w:styleId="45">
    <w:name w:val="after"/>
    <w:basedOn w:val="28"/>
    <w:qFormat/>
    <w:uiPriority w:val="0"/>
    <w:rPr>
      <w:sz w:val="0"/>
      <w:szCs w:val="0"/>
    </w:rPr>
  </w:style>
  <w:style w:type="character" w:customStyle="1" w:styleId="46">
    <w:name w:val="hilite6"/>
    <w:basedOn w:val="28"/>
    <w:qFormat/>
    <w:uiPriority w:val="0"/>
    <w:rPr>
      <w:color w:val="FFFFFF"/>
      <w:shd w:val="clear" w:color="auto" w:fill="666666"/>
    </w:rPr>
  </w:style>
  <w:style w:type="character" w:customStyle="1" w:styleId="47">
    <w:name w:val="active8"/>
    <w:basedOn w:val="28"/>
    <w:qFormat/>
    <w:uiPriority w:val="0"/>
    <w:rPr>
      <w:color w:val="00FF00"/>
      <w:shd w:val="clear" w:color="auto" w:fill="111111"/>
    </w:rPr>
  </w:style>
  <w:style w:type="character" w:customStyle="1" w:styleId="48">
    <w:name w:val="w32"/>
    <w:basedOn w:val="28"/>
    <w:qFormat/>
    <w:uiPriority w:val="0"/>
  </w:style>
  <w:style w:type="character" w:customStyle="1" w:styleId="49">
    <w:name w:val="pagechatarealistclose_box"/>
    <w:basedOn w:val="28"/>
    <w:qFormat/>
    <w:uiPriority w:val="0"/>
  </w:style>
  <w:style w:type="character" w:customStyle="1" w:styleId="50">
    <w:name w:val="drapbtn"/>
    <w:basedOn w:val="28"/>
    <w:qFormat/>
    <w:uiPriority w:val="0"/>
  </w:style>
  <w:style w:type="character" w:customStyle="1" w:styleId="51">
    <w:name w:val="cdropright"/>
    <w:basedOn w:val="28"/>
    <w:qFormat/>
    <w:uiPriority w:val="0"/>
  </w:style>
  <w:style w:type="character" w:customStyle="1" w:styleId="52">
    <w:name w:val="cdropleft"/>
    <w:basedOn w:val="28"/>
    <w:qFormat/>
    <w:uiPriority w:val="0"/>
  </w:style>
  <w:style w:type="character" w:customStyle="1" w:styleId="53">
    <w:name w:val="iconline2"/>
    <w:basedOn w:val="28"/>
    <w:qFormat/>
    <w:uiPriority w:val="0"/>
  </w:style>
  <w:style w:type="character" w:customStyle="1" w:styleId="54">
    <w:name w:val="iconline21"/>
    <w:basedOn w:val="28"/>
    <w:qFormat/>
    <w:uiPriority w:val="0"/>
  </w:style>
  <w:style w:type="character" w:customStyle="1" w:styleId="55">
    <w:name w:val="xdrichtextbox"/>
    <w:basedOn w:val="28"/>
    <w:qFormat/>
    <w:uiPriority w:val="0"/>
    <w:rPr>
      <w:color w:val="auto"/>
      <w:sz w:val="18"/>
      <w:szCs w:val="18"/>
      <w:u w:val="none"/>
      <w:bdr w:val="single" w:color="DCDCDC" w:sz="8" w:space="0"/>
      <w:shd w:val="clear" w:color="auto" w:fill="auto"/>
    </w:rPr>
  </w:style>
  <w:style w:type="character" w:customStyle="1" w:styleId="56">
    <w:name w:val="icontext1"/>
    <w:basedOn w:val="28"/>
    <w:qFormat/>
    <w:uiPriority w:val="0"/>
  </w:style>
  <w:style w:type="character" w:customStyle="1" w:styleId="57">
    <w:name w:val="icontext11"/>
    <w:basedOn w:val="28"/>
    <w:qFormat/>
    <w:uiPriority w:val="0"/>
  </w:style>
  <w:style w:type="character" w:customStyle="1" w:styleId="58">
    <w:name w:val="icontext12"/>
    <w:basedOn w:val="28"/>
    <w:qFormat/>
    <w:uiPriority w:val="0"/>
  </w:style>
  <w:style w:type="character" w:customStyle="1" w:styleId="59">
    <w:name w:val="icontext2"/>
    <w:basedOn w:val="28"/>
    <w:qFormat/>
    <w:uiPriority w:val="0"/>
  </w:style>
  <w:style w:type="character" w:customStyle="1" w:styleId="60">
    <w:name w:val="icontext3"/>
    <w:basedOn w:val="28"/>
    <w:qFormat/>
    <w:uiPriority w:val="0"/>
  </w:style>
  <w:style w:type="character" w:customStyle="1" w:styleId="61">
    <w:name w:val="estimate_gray"/>
    <w:basedOn w:val="28"/>
    <w:qFormat/>
    <w:uiPriority w:val="0"/>
    <w:rPr>
      <w:color w:val="FFFFFF"/>
    </w:rPr>
  </w:style>
  <w:style w:type="character" w:customStyle="1" w:styleId="62">
    <w:name w:val="estimate_gray1"/>
    <w:basedOn w:val="28"/>
    <w:qFormat/>
    <w:uiPriority w:val="0"/>
  </w:style>
  <w:style w:type="character" w:customStyle="1" w:styleId="63">
    <w:name w:val="liked_gray"/>
    <w:basedOn w:val="28"/>
    <w:qFormat/>
    <w:uiPriority w:val="0"/>
    <w:rPr>
      <w:color w:val="FFFFFF"/>
    </w:rPr>
  </w:style>
  <w:style w:type="character" w:customStyle="1" w:styleId="64">
    <w:name w:val="moreaction32"/>
    <w:basedOn w:val="28"/>
    <w:qFormat/>
    <w:uiPriority w:val="0"/>
  </w:style>
  <w:style w:type="character" w:customStyle="1" w:styleId="65">
    <w:name w:val="ico1658"/>
    <w:basedOn w:val="28"/>
    <w:qFormat/>
    <w:uiPriority w:val="0"/>
  </w:style>
  <w:style w:type="character" w:customStyle="1" w:styleId="66">
    <w:name w:val="ico1659"/>
    <w:basedOn w:val="28"/>
    <w:qFormat/>
    <w:uiPriority w:val="0"/>
  </w:style>
  <w:style w:type="character" w:customStyle="1" w:styleId="67">
    <w:name w:val="ico1660"/>
    <w:basedOn w:val="28"/>
    <w:qFormat/>
    <w:uiPriority w:val="0"/>
  </w:style>
  <w:style w:type="character" w:customStyle="1" w:styleId="68">
    <w:name w:val="edit_class"/>
    <w:basedOn w:val="28"/>
    <w:qFormat/>
    <w:uiPriority w:val="0"/>
  </w:style>
  <w:style w:type="character" w:customStyle="1" w:styleId="69">
    <w:name w:val="viewscale"/>
    <w:basedOn w:val="28"/>
    <w:qFormat/>
    <w:uiPriority w:val="0"/>
    <w:rPr>
      <w:color w:val="FFFFFF"/>
      <w:sz w:val="24"/>
      <w:szCs w:val="24"/>
    </w:rPr>
  </w:style>
  <w:style w:type="character" w:customStyle="1" w:styleId="70">
    <w:name w:val="cy"/>
    <w:basedOn w:val="28"/>
    <w:qFormat/>
    <w:uiPriority w:val="0"/>
  </w:style>
  <w:style w:type="character" w:customStyle="1" w:styleId="71">
    <w:name w:val="last-child"/>
    <w:basedOn w:val="28"/>
    <w:qFormat/>
    <w:uiPriority w:val="0"/>
  </w:style>
  <w:style w:type="character" w:customStyle="1" w:styleId="72">
    <w:name w:val="hover49"/>
    <w:basedOn w:val="28"/>
    <w:qFormat/>
    <w:uiPriority w:val="0"/>
    <w:rPr>
      <w:color w:val="FFFFFF"/>
    </w:rPr>
  </w:style>
  <w:style w:type="character" w:customStyle="1" w:styleId="73">
    <w:name w:val="browse_class&gt;span"/>
    <w:basedOn w:val="28"/>
    <w:qFormat/>
    <w:uiPriority w:val="0"/>
  </w:style>
  <w:style w:type="character" w:customStyle="1" w:styleId="74">
    <w:name w:val="active"/>
    <w:basedOn w:val="28"/>
    <w:qFormat/>
    <w:uiPriority w:val="0"/>
    <w:rPr>
      <w:color w:val="00FF00"/>
      <w:shd w:val="clear" w:color="auto" w:fill="111111"/>
    </w:rPr>
  </w:style>
  <w:style w:type="character" w:customStyle="1" w:styleId="75">
    <w:name w:val="color_gray3"/>
    <w:basedOn w:val="28"/>
    <w:qFormat/>
    <w:uiPriority w:val="0"/>
    <w:rPr>
      <w:color w:val="999999"/>
    </w:rPr>
  </w:style>
  <w:style w:type="character" w:customStyle="1" w:styleId="76">
    <w:name w:val="pagechatarealistclose_box1"/>
    <w:basedOn w:val="28"/>
    <w:qFormat/>
    <w:uiPriority w:val="0"/>
  </w:style>
  <w:style w:type="character" w:customStyle="1" w:styleId="77">
    <w:name w:val="hover44"/>
    <w:basedOn w:val="28"/>
    <w:qFormat/>
    <w:uiPriority w:val="0"/>
    <w:rPr>
      <w:color w:val="FFFFFF"/>
    </w:rPr>
  </w:style>
  <w:style w:type="character" w:customStyle="1" w:styleId="78">
    <w:name w:val="xdrichtextbox2"/>
    <w:basedOn w:val="28"/>
    <w:qFormat/>
    <w:uiPriority w:val="0"/>
  </w:style>
  <w:style w:type="character" w:customStyle="1" w:styleId="79">
    <w:name w:val="button4"/>
    <w:basedOn w:val="28"/>
    <w:qFormat/>
    <w:uiPriority w:val="0"/>
  </w:style>
  <w:style w:type="character" w:customStyle="1" w:styleId="80">
    <w:name w:val="hover46"/>
    <w:basedOn w:val="28"/>
    <w:qFormat/>
    <w:uiPriority w:val="0"/>
    <w:rPr>
      <w:color w:val="FFFFFF"/>
    </w:rPr>
  </w:style>
  <w:style w:type="character" w:customStyle="1" w:styleId="81">
    <w:name w:val="页眉 字符"/>
    <w:basedOn w:val="28"/>
    <w:link w:val="18"/>
    <w:qFormat/>
    <w:uiPriority w:val="0"/>
    <w:rPr>
      <w:kern w:val="2"/>
      <w:sz w:val="18"/>
      <w:szCs w:val="18"/>
    </w:rPr>
  </w:style>
  <w:style w:type="character" w:customStyle="1" w:styleId="82">
    <w:name w:val="页脚 字符"/>
    <w:basedOn w:val="28"/>
    <w:link w:val="17"/>
    <w:qFormat/>
    <w:uiPriority w:val="0"/>
    <w:rPr>
      <w:kern w:val="2"/>
      <w:sz w:val="18"/>
      <w:szCs w:val="18"/>
    </w:rPr>
  </w:style>
  <w:style w:type="character" w:customStyle="1" w:styleId="83">
    <w:name w:val="批注框文本 字符"/>
    <w:basedOn w:val="28"/>
    <w:link w:val="16"/>
    <w:qFormat/>
    <w:uiPriority w:val="0"/>
    <w:rPr>
      <w:kern w:val="2"/>
      <w:sz w:val="18"/>
      <w:szCs w:val="18"/>
    </w:rPr>
  </w:style>
  <w:style w:type="character" w:customStyle="1" w:styleId="84">
    <w:name w:val="批注文字 字符"/>
    <w:basedOn w:val="28"/>
    <w:link w:val="8"/>
    <w:semiHidden/>
    <w:qFormat/>
    <w:uiPriority w:val="0"/>
    <w:rPr>
      <w:kern w:val="2"/>
      <w:sz w:val="21"/>
    </w:rPr>
  </w:style>
  <w:style w:type="character" w:customStyle="1" w:styleId="85">
    <w:name w:val="批注主题 字符"/>
    <w:basedOn w:val="84"/>
    <w:link w:val="23"/>
    <w:qFormat/>
    <w:uiPriority w:val="0"/>
    <w:rPr>
      <w:kern w:val="2"/>
      <w:sz w:val="21"/>
    </w:rPr>
  </w:style>
  <w:style w:type="character" w:customStyle="1" w:styleId="86">
    <w:name w:val="日期 字符"/>
    <w:basedOn w:val="28"/>
    <w:link w:val="14"/>
    <w:semiHidden/>
    <w:qFormat/>
    <w:uiPriority w:val="0"/>
    <w:rPr>
      <w:kern w:val="2"/>
      <w:sz w:val="21"/>
    </w:rPr>
  </w:style>
  <w:style w:type="paragraph" w:customStyle="1" w:styleId="87">
    <w:name w:val="列出段落1"/>
    <w:basedOn w:val="1"/>
    <w:qFormat/>
    <w:uiPriority w:val="0"/>
    <w:pPr>
      <w:ind w:firstLine="420" w:firstLineChars="200"/>
    </w:pPr>
    <w:rPr>
      <w:rFonts w:ascii="Calibri" w:hAnsi="Calibri"/>
      <w:sz w:val="24"/>
      <w:szCs w:val="22"/>
    </w:rPr>
  </w:style>
  <w:style w:type="paragraph" w:customStyle="1" w:styleId="88">
    <w:name w:val="题注4"/>
    <w:basedOn w:val="1"/>
    <w:next w:val="7"/>
    <w:qFormat/>
    <w:uiPriority w:val="0"/>
    <w:pPr>
      <w:ind w:left="-40" w:leftChars="-41" w:right="-107" w:rightChars="-51" w:hanging="46"/>
      <w:jc w:val="center"/>
    </w:pPr>
    <w:rPr>
      <w:b/>
      <w:color w:val="000000"/>
      <w:sz w:val="18"/>
      <w:szCs w:val="21"/>
      <w:lang w:val="en-GB"/>
    </w:rPr>
  </w:style>
  <w:style w:type="character" w:customStyle="1" w:styleId="89">
    <w:name w:val="正文文本缩进 字符"/>
    <w:basedOn w:val="28"/>
    <w:link w:val="10"/>
    <w:semiHidden/>
    <w:qFormat/>
    <w:uiPriority w:val="99"/>
    <w:rPr>
      <w:color w:val="000000"/>
      <w:sz w:val="30"/>
    </w:rPr>
  </w:style>
  <w:style w:type="character" w:customStyle="1" w:styleId="90">
    <w:name w:val="标题 7 字符"/>
    <w:basedOn w:val="28"/>
    <w:link w:val="6"/>
    <w:semiHidden/>
    <w:qFormat/>
    <w:uiPriority w:val="0"/>
    <w:rPr>
      <w:b/>
      <w:bCs/>
      <w:kern w:val="2"/>
      <w:sz w:val="24"/>
      <w:szCs w:val="24"/>
    </w:rPr>
  </w:style>
  <w:style w:type="character" w:customStyle="1" w:styleId="91">
    <w:name w:val="Font Style17"/>
    <w:qFormat/>
    <w:uiPriority w:val="0"/>
    <w:rPr>
      <w:rFonts w:ascii="黑体" w:hAnsi="Times New Roman" w:eastAsia="黑体" w:cs="黑体"/>
      <w:sz w:val="28"/>
      <w:szCs w:val="28"/>
    </w:rPr>
  </w:style>
  <w:style w:type="paragraph" w:customStyle="1" w:styleId="92">
    <w:name w:val="表格文字"/>
    <w:basedOn w:val="1"/>
    <w:qFormat/>
    <w:uiPriority w:val="0"/>
    <w:pPr>
      <w:jc w:val="left"/>
    </w:pPr>
    <w:rPr>
      <w:bCs/>
      <w:spacing w:val="10"/>
      <w:kern w:val="0"/>
      <w:sz w:val="24"/>
    </w:rPr>
  </w:style>
  <w:style w:type="paragraph" w:customStyle="1" w:styleId="93">
    <w:name w:val="_Style 3"/>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4">
    <w:name w:val="Table Paragraph"/>
    <w:basedOn w:val="1"/>
    <w:qFormat/>
    <w:uiPriority w:val="1"/>
    <w:rPr>
      <w:rFonts w:ascii="宋体" w:hAnsi="宋体" w:cs="宋体"/>
      <w:lang w:val="zh-CN" w:bidi="zh-CN"/>
    </w:rPr>
  </w:style>
  <w:style w:type="paragraph" w:customStyle="1" w:styleId="95">
    <w:name w:val="TOC Heading"/>
    <w:basedOn w:val="3"/>
    <w:next w:val="1"/>
    <w:unhideWhenUsed/>
    <w:qFormat/>
    <w:uiPriority w:val="39"/>
    <w:pPr>
      <w:widowControl/>
      <w:numPr>
        <w:ilvl w:val="0"/>
        <w:numId w:val="0"/>
      </w:numPr>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18415</Words>
  <Characters>19633</Characters>
  <Lines>90</Lines>
  <Paragraphs>25</Paragraphs>
  <TotalTime>19</TotalTime>
  <ScaleCrop>false</ScaleCrop>
  <LinksUpToDate>false</LinksUpToDate>
  <CharactersWithSpaces>20467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2022-11-29T02:50:00Z</dcterms:created>
  <dc:creator>xb21cn</dc:creator>
  <cp:lastModifiedBy>WPS_1469634715</cp:lastModifiedBy>
  <cp:lastPrinted>2025-01-14T06:08:00Z</cp:lastPrinted>
  <dcterms:modified xsi:type="dcterms:W3CDTF">2025-05-08T09:12:25Z</dcterms:modified>
  <dc:title>2022年文化中心日常保洁服务项目投标邀请函</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FA087684F5AC433E83C6734A122D7883_13</vt:lpwstr>
  </property>
  <property fmtid="{D5CDD505-2E9C-101B-9397-08002B2CF9AE}" pid="4" name="KSOTemplateDocerSaveRecord">
    <vt:lpwstr>eyJoZGlkIjoiZjY2ZDY5YmVkMjc4MDg2YjlkM2U5NDQyNjNmOTgyZjcifQ==</vt:lpwstr>
  </property>
</Properties>
</file>